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F5329" w14:textId="77777777" w:rsidR="00A22C55" w:rsidRPr="00C2185E" w:rsidRDefault="00A22C55">
      <w:pPr>
        <w:rPr>
          <w:rFonts w:ascii="Arial" w:hAnsi="Arial" w:cs="Arial"/>
          <w:sz w:val="28"/>
          <w:szCs w:val="28"/>
        </w:rPr>
      </w:pPr>
      <w:bookmarkStart w:id="0" w:name="_GoBack"/>
      <w:bookmarkEnd w:id="0"/>
      <w:r w:rsidRPr="00C2185E">
        <w:rPr>
          <w:rFonts w:ascii="Arial" w:hAnsi="Arial" w:cs="Arial"/>
          <w:b/>
          <w:sz w:val="28"/>
          <w:szCs w:val="28"/>
        </w:rPr>
        <w:t>Municipal Bonds Agency - Summary of Business Case Review</w:t>
      </w:r>
    </w:p>
    <w:p w14:paraId="599F532A" w14:textId="77777777" w:rsidR="00A22C55" w:rsidRPr="003742D8" w:rsidRDefault="00A22C55">
      <w:pPr>
        <w:rPr>
          <w:rFonts w:ascii="Arial" w:hAnsi="Arial" w:cs="Arial"/>
          <w:sz w:val="22"/>
          <w:szCs w:val="22"/>
        </w:rPr>
      </w:pPr>
    </w:p>
    <w:p w14:paraId="599F532B" w14:textId="77777777" w:rsidR="00A22C55" w:rsidRDefault="00A22C55">
      <w:pPr>
        <w:rPr>
          <w:rFonts w:ascii="Arial" w:hAnsi="Arial" w:cs="Arial"/>
          <w:b/>
          <w:sz w:val="22"/>
          <w:szCs w:val="22"/>
        </w:rPr>
      </w:pPr>
      <w:r w:rsidRPr="003742D8">
        <w:rPr>
          <w:rFonts w:ascii="Arial" w:hAnsi="Arial" w:cs="Arial"/>
          <w:b/>
          <w:sz w:val="22"/>
          <w:szCs w:val="22"/>
        </w:rPr>
        <w:t>Public interest case</w:t>
      </w:r>
    </w:p>
    <w:p w14:paraId="599F532C" w14:textId="77777777" w:rsidR="00276290" w:rsidRPr="003742D8" w:rsidRDefault="00276290">
      <w:pPr>
        <w:rPr>
          <w:rFonts w:ascii="Arial" w:hAnsi="Arial" w:cs="Arial"/>
          <w:sz w:val="22"/>
          <w:szCs w:val="22"/>
        </w:rPr>
      </w:pPr>
    </w:p>
    <w:p w14:paraId="599F532D" w14:textId="77777777" w:rsidR="00A22C55" w:rsidRPr="003742D8" w:rsidRDefault="00276290" w:rsidP="007A2F0D">
      <w:pPr>
        <w:pStyle w:val="ListParagraph"/>
        <w:numPr>
          <w:ilvl w:val="0"/>
          <w:numId w:val="1"/>
        </w:numPr>
        <w:rPr>
          <w:rFonts w:ascii="Arial" w:hAnsi="Arial" w:cs="Arial"/>
          <w:sz w:val="22"/>
          <w:szCs w:val="22"/>
        </w:rPr>
      </w:pPr>
      <w:r>
        <w:rPr>
          <w:rFonts w:ascii="Arial" w:hAnsi="Arial" w:cs="Arial"/>
          <w:sz w:val="22"/>
          <w:szCs w:val="22"/>
        </w:rPr>
        <w:t xml:space="preserve">Councils source </w:t>
      </w:r>
      <w:r w:rsidR="00A22C55" w:rsidRPr="003742D8">
        <w:rPr>
          <w:rFonts w:ascii="Arial" w:hAnsi="Arial" w:cs="Arial"/>
          <w:sz w:val="22"/>
          <w:szCs w:val="22"/>
        </w:rPr>
        <w:t xml:space="preserve">75 per cent of </w:t>
      </w:r>
      <w:r>
        <w:rPr>
          <w:rFonts w:ascii="Arial" w:hAnsi="Arial" w:cs="Arial"/>
          <w:sz w:val="22"/>
          <w:szCs w:val="22"/>
        </w:rPr>
        <w:t>their</w:t>
      </w:r>
      <w:r w:rsidR="00A22C55" w:rsidRPr="003742D8">
        <w:rPr>
          <w:rFonts w:ascii="Arial" w:hAnsi="Arial" w:cs="Arial"/>
          <w:sz w:val="22"/>
          <w:szCs w:val="22"/>
        </w:rPr>
        <w:t xml:space="preserve"> borrowing from the </w:t>
      </w:r>
      <w:r w:rsidR="004377E3">
        <w:rPr>
          <w:rFonts w:ascii="Arial" w:hAnsi="Arial" w:cs="Arial"/>
          <w:sz w:val="22"/>
          <w:szCs w:val="22"/>
        </w:rPr>
        <w:t>Public Works Loans Board (PWLB)</w:t>
      </w:r>
      <w:r>
        <w:rPr>
          <w:rFonts w:ascii="Arial" w:hAnsi="Arial" w:cs="Arial"/>
          <w:sz w:val="22"/>
          <w:szCs w:val="22"/>
        </w:rPr>
        <w:t xml:space="preserve">. That </w:t>
      </w:r>
      <w:r w:rsidR="00F50C19">
        <w:rPr>
          <w:rFonts w:ascii="Arial" w:hAnsi="Arial" w:cs="Arial"/>
          <w:sz w:val="22"/>
          <w:szCs w:val="22"/>
        </w:rPr>
        <w:t>leav</w:t>
      </w:r>
      <w:r>
        <w:rPr>
          <w:rFonts w:ascii="Arial" w:hAnsi="Arial" w:cs="Arial"/>
          <w:sz w:val="22"/>
          <w:szCs w:val="22"/>
        </w:rPr>
        <w:t>es</w:t>
      </w:r>
      <w:r w:rsidR="00A22C55" w:rsidRPr="003742D8">
        <w:rPr>
          <w:rFonts w:ascii="Arial" w:hAnsi="Arial" w:cs="Arial"/>
          <w:sz w:val="22"/>
          <w:szCs w:val="22"/>
        </w:rPr>
        <w:t xml:space="preserve"> </w:t>
      </w:r>
      <w:r w:rsidR="00F50C19">
        <w:rPr>
          <w:rFonts w:ascii="Arial" w:hAnsi="Arial" w:cs="Arial"/>
          <w:sz w:val="22"/>
          <w:szCs w:val="22"/>
        </w:rPr>
        <w:t>c</w:t>
      </w:r>
      <w:r w:rsidR="007A2F0D" w:rsidRPr="003742D8">
        <w:rPr>
          <w:rFonts w:ascii="Arial" w:hAnsi="Arial" w:cs="Arial"/>
          <w:sz w:val="22"/>
          <w:szCs w:val="22"/>
        </w:rPr>
        <w:t>ouncils vulnerable to interest rates</w:t>
      </w:r>
      <w:r w:rsidR="00A12D6A" w:rsidRPr="003742D8">
        <w:rPr>
          <w:rFonts w:ascii="Arial" w:hAnsi="Arial" w:cs="Arial"/>
          <w:sz w:val="22"/>
          <w:szCs w:val="22"/>
        </w:rPr>
        <w:t xml:space="preserve"> </w:t>
      </w:r>
      <w:r>
        <w:rPr>
          <w:rFonts w:ascii="Arial" w:hAnsi="Arial" w:cs="Arial"/>
          <w:sz w:val="22"/>
          <w:szCs w:val="22"/>
        </w:rPr>
        <w:t xml:space="preserve">set to deliver </w:t>
      </w:r>
      <w:r w:rsidR="00734ACB">
        <w:rPr>
          <w:rFonts w:ascii="Arial" w:hAnsi="Arial" w:cs="Arial"/>
          <w:sz w:val="22"/>
          <w:szCs w:val="22"/>
        </w:rPr>
        <w:t xml:space="preserve">the </w:t>
      </w:r>
      <w:r w:rsidR="00A12D6A" w:rsidRPr="003742D8">
        <w:rPr>
          <w:rFonts w:ascii="Arial" w:hAnsi="Arial" w:cs="Arial"/>
          <w:sz w:val="22"/>
          <w:szCs w:val="22"/>
        </w:rPr>
        <w:t>government</w:t>
      </w:r>
      <w:r w:rsidR="006A660D" w:rsidRPr="003742D8">
        <w:rPr>
          <w:rFonts w:ascii="Arial" w:hAnsi="Arial" w:cs="Arial"/>
          <w:sz w:val="22"/>
          <w:szCs w:val="22"/>
        </w:rPr>
        <w:t xml:space="preserve">’s </w:t>
      </w:r>
      <w:r>
        <w:rPr>
          <w:rFonts w:ascii="Arial" w:hAnsi="Arial" w:cs="Arial"/>
          <w:sz w:val="22"/>
          <w:szCs w:val="22"/>
        </w:rPr>
        <w:t>public borrowing plans</w:t>
      </w:r>
      <w:r w:rsidR="007A2F0D" w:rsidRPr="003742D8">
        <w:rPr>
          <w:rFonts w:ascii="Arial" w:hAnsi="Arial" w:cs="Arial"/>
          <w:sz w:val="22"/>
          <w:szCs w:val="22"/>
        </w:rPr>
        <w:t xml:space="preserve">.  </w:t>
      </w:r>
      <w:r w:rsidR="009A5CD5">
        <w:rPr>
          <w:rFonts w:ascii="Arial" w:hAnsi="Arial" w:cs="Arial"/>
          <w:sz w:val="22"/>
          <w:szCs w:val="22"/>
        </w:rPr>
        <w:t xml:space="preserve">The </w:t>
      </w:r>
      <w:r w:rsidR="009A5CD5" w:rsidRPr="003742D8">
        <w:rPr>
          <w:rFonts w:ascii="Arial" w:hAnsi="Arial" w:cs="Arial"/>
          <w:sz w:val="22"/>
          <w:szCs w:val="22"/>
        </w:rPr>
        <w:t xml:space="preserve">Municipal Bonds </w:t>
      </w:r>
      <w:r w:rsidR="009A5CD5">
        <w:rPr>
          <w:rFonts w:ascii="Arial" w:hAnsi="Arial" w:cs="Arial"/>
          <w:sz w:val="22"/>
          <w:szCs w:val="22"/>
        </w:rPr>
        <w:t xml:space="preserve">Agency would </w:t>
      </w:r>
      <w:r>
        <w:rPr>
          <w:rFonts w:ascii="Arial" w:hAnsi="Arial" w:cs="Arial"/>
          <w:sz w:val="22"/>
          <w:szCs w:val="22"/>
        </w:rPr>
        <w:t>give</w:t>
      </w:r>
      <w:r w:rsidR="009A5CD5">
        <w:rPr>
          <w:rFonts w:ascii="Arial" w:hAnsi="Arial" w:cs="Arial"/>
          <w:sz w:val="22"/>
          <w:szCs w:val="22"/>
        </w:rPr>
        <w:t xml:space="preserve"> </w:t>
      </w:r>
      <w:r w:rsidR="004377E3">
        <w:rPr>
          <w:rFonts w:ascii="Arial" w:hAnsi="Arial" w:cs="Arial"/>
          <w:sz w:val="22"/>
          <w:szCs w:val="22"/>
        </w:rPr>
        <w:t>councils</w:t>
      </w:r>
      <w:r w:rsidR="00F50C19">
        <w:rPr>
          <w:rFonts w:ascii="Arial" w:hAnsi="Arial" w:cs="Arial"/>
          <w:sz w:val="22"/>
          <w:szCs w:val="22"/>
        </w:rPr>
        <w:t xml:space="preserve"> </w:t>
      </w:r>
      <w:r>
        <w:rPr>
          <w:rFonts w:ascii="Arial" w:hAnsi="Arial" w:cs="Arial"/>
          <w:sz w:val="22"/>
          <w:szCs w:val="22"/>
        </w:rPr>
        <w:t xml:space="preserve">greater </w:t>
      </w:r>
      <w:r w:rsidR="009A5CD5">
        <w:rPr>
          <w:rFonts w:ascii="Arial" w:hAnsi="Arial" w:cs="Arial"/>
          <w:sz w:val="22"/>
          <w:szCs w:val="22"/>
        </w:rPr>
        <w:t xml:space="preserve">control of interest rates and </w:t>
      </w:r>
      <w:r w:rsidR="00F50C19">
        <w:rPr>
          <w:rFonts w:ascii="Arial" w:hAnsi="Arial" w:cs="Arial"/>
          <w:sz w:val="22"/>
          <w:szCs w:val="22"/>
        </w:rPr>
        <w:t>introduc</w:t>
      </w:r>
      <w:r>
        <w:rPr>
          <w:rFonts w:ascii="Arial" w:hAnsi="Arial" w:cs="Arial"/>
          <w:sz w:val="22"/>
          <w:szCs w:val="22"/>
        </w:rPr>
        <w:t>e</w:t>
      </w:r>
      <w:r w:rsidR="007A2F0D" w:rsidRPr="003742D8">
        <w:rPr>
          <w:rFonts w:ascii="Arial" w:hAnsi="Arial" w:cs="Arial"/>
          <w:sz w:val="22"/>
          <w:szCs w:val="22"/>
        </w:rPr>
        <w:t xml:space="preserve"> competition </w:t>
      </w:r>
      <w:r w:rsidR="00F50C19">
        <w:rPr>
          <w:rFonts w:ascii="Arial" w:hAnsi="Arial" w:cs="Arial"/>
          <w:sz w:val="22"/>
          <w:szCs w:val="22"/>
        </w:rPr>
        <w:t xml:space="preserve">and diversity </w:t>
      </w:r>
      <w:r w:rsidR="007A2F0D" w:rsidRPr="003742D8">
        <w:rPr>
          <w:rFonts w:ascii="Arial" w:hAnsi="Arial" w:cs="Arial"/>
          <w:sz w:val="22"/>
          <w:szCs w:val="22"/>
        </w:rPr>
        <w:t>to the marketplace.</w:t>
      </w:r>
      <w:r w:rsidR="00385A93" w:rsidRPr="003742D8">
        <w:rPr>
          <w:rFonts w:ascii="Arial" w:hAnsi="Arial" w:cs="Arial"/>
          <w:sz w:val="22"/>
          <w:szCs w:val="22"/>
        </w:rPr>
        <w:t xml:space="preserve">  The Agency </w:t>
      </w:r>
      <w:r w:rsidR="004377E3">
        <w:rPr>
          <w:rFonts w:ascii="Arial" w:hAnsi="Arial" w:cs="Arial"/>
          <w:sz w:val="22"/>
          <w:szCs w:val="22"/>
        </w:rPr>
        <w:t>c</w:t>
      </w:r>
      <w:r w:rsidR="00385A93" w:rsidRPr="003742D8">
        <w:rPr>
          <w:rFonts w:ascii="Arial" w:hAnsi="Arial" w:cs="Arial"/>
          <w:sz w:val="22"/>
          <w:szCs w:val="22"/>
        </w:rPr>
        <w:t>ould also offer lower penalties for early repayment of loans.</w:t>
      </w:r>
      <w:r w:rsidR="009A5CD5">
        <w:rPr>
          <w:rFonts w:ascii="Arial" w:hAnsi="Arial" w:cs="Arial"/>
          <w:sz w:val="22"/>
          <w:szCs w:val="22"/>
        </w:rPr>
        <w:t xml:space="preserve"> </w:t>
      </w:r>
    </w:p>
    <w:p w14:paraId="599F532E" w14:textId="77777777" w:rsidR="007A2F0D" w:rsidRPr="003742D8" w:rsidRDefault="007A2F0D" w:rsidP="007A2F0D">
      <w:pPr>
        <w:pStyle w:val="ListParagraph"/>
        <w:ind w:left="360"/>
        <w:rPr>
          <w:rFonts w:ascii="Arial" w:hAnsi="Arial" w:cs="Arial"/>
          <w:sz w:val="22"/>
          <w:szCs w:val="22"/>
        </w:rPr>
      </w:pPr>
    </w:p>
    <w:p w14:paraId="599F532F" w14:textId="77777777" w:rsidR="007A2F0D" w:rsidRPr="003742D8" w:rsidRDefault="00BA0FCA" w:rsidP="007A2F0D">
      <w:pPr>
        <w:pStyle w:val="ListParagraph"/>
        <w:numPr>
          <w:ilvl w:val="0"/>
          <w:numId w:val="1"/>
        </w:numPr>
        <w:rPr>
          <w:rFonts w:ascii="Arial" w:hAnsi="Arial" w:cs="Arial"/>
          <w:sz w:val="22"/>
          <w:szCs w:val="22"/>
        </w:rPr>
      </w:pPr>
      <w:r>
        <w:rPr>
          <w:rFonts w:ascii="Arial" w:hAnsi="Arial" w:cs="Arial"/>
          <w:sz w:val="22"/>
          <w:szCs w:val="22"/>
        </w:rPr>
        <w:t>Nordic e</w:t>
      </w:r>
      <w:r w:rsidR="00A12D6A" w:rsidRPr="003742D8">
        <w:rPr>
          <w:rFonts w:ascii="Arial" w:hAnsi="Arial" w:cs="Arial"/>
          <w:sz w:val="22"/>
          <w:szCs w:val="22"/>
        </w:rPr>
        <w:t xml:space="preserve">xperience has shown that an </w:t>
      </w:r>
      <w:r w:rsidR="00811088" w:rsidRPr="003742D8">
        <w:rPr>
          <w:rFonts w:ascii="Arial" w:hAnsi="Arial" w:cs="Arial"/>
          <w:sz w:val="22"/>
          <w:szCs w:val="22"/>
        </w:rPr>
        <w:t>a</w:t>
      </w:r>
      <w:r w:rsidR="00A12D6A" w:rsidRPr="003742D8">
        <w:rPr>
          <w:rFonts w:ascii="Arial" w:hAnsi="Arial" w:cs="Arial"/>
          <w:sz w:val="22"/>
          <w:szCs w:val="22"/>
        </w:rPr>
        <w:t>genc</w:t>
      </w:r>
      <w:r w:rsidR="00734ACB">
        <w:rPr>
          <w:rFonts w:ascii="Arial" w:hAnsi="Arial" w:cs="Arial"/>
          <w:sz w:val="22"/>
          <w:szCs w:val="22"/>
        </w:rPr>
        <w:t>y’</w:t>
      </w:r>
      <w:r w:rsidR="00A12D6A" w:rsidRPr="003742D8">
        <w:rPr>
          <w:rFonts w:ascii="Arial" w:hAnsi="Arial" w:cs="Arial"/>
          <w:sz w:val="22"/>
          <w:szCs w:val="22"/>
        </w:rPr>
        <w:t>s credit processes, with the incentive of lower borrowing costs and the oversight of peers</w:t>
      </w:r>
      <w:r w:rsidR="00734ACB">
        <w:rPr>
          <w:rFonts w:ascii="Arial" w:hAnsi="Arial" w:cs="Arial"/>
          <w:sz w:val="22"/>
          <w:szCs w:val="22"/>
        </w:rPr>
        <w:t>,</w:t>
      </w:r>
      <w:r w:rsidR="00A12D6A" w:rsidRPr="003742D8">
        <w:rPr>
          <w:rFonts w:ascii="Arial" w:hAnsi="Arial" w:cs="Arial"/>
          <w:sz w:val="22"/>
          <w:szCs w:val="22"/>
        </w:rPr>
        <w:t xml:space="preserve"> has strengthened the overall credit worthiness of local authorities.</w:t>
      </w:r>
    </w:p>
    <w:p w14:paraId="599F5330" w14:textId="77777777" w:rsidR="00A12D6A" w:rsidRPr="003742D8" w:rsidRDefault="00A12D6A" w:rsidP="00A12D6A">
      <w:pPr>
        <w:pStyle w:val="ListParagraph"/>
        <w:rPr>
          <w:rFonts w:ascii="Arial" w:hAnsi="Arial" w:cs="Arial"/>
          <w:sz w:val="22"/>
          <w:szCs w:val="22"/>
        </w:rPr>
      </w:pPr>
    </w:p>
    <w:p w14:paraId="599F5331" w14:textId="77777777" w:rsidR="00A12D6A" w:rsidRPr="003742D8" w:rsidRDefault="00A12D6A" w:rsidP="007A2F0D">
      <w:pPr>
        <w:pStyle w:val="ListParagraph"/>
        <w:numPr>
          <w:ilvl w:val="0"/>
          <w:numId w:val="1"/>
        </w:numPr>
        <w:rPr>
          <w:rFonts w:ascii="Arial" w:hAnsi="Arial" w:cs="Arial"/>
          <w:sz w:val="22"/>
          <w:szCs w:val="22"/>
        </w:rPr>
      </w:pPr>
      <w:r w:rsidRPr="003742D8">
        <w:rPr>
          <w:rFonts w:ascii="Arial" w:hAnsi="Arial" w:cs="Arial"/>
          <w:sz w:val="22"/>
          <w:szCs w:val="22"/>
        </w:rPr>
        <w:t xml:space="preserve">The experience of the Nordic Agencies has </w:t>
      </w:r>
      <w:r w:rsidR="00932790">
        <w:rPr>
          <w:rFonts w:ascii="Arial" w:hAnsi="Arial" w:cs="Arial"/>
          <w:sz w:val="22"/>
          <w:szCs w:val="22"/>
        </w:rPr>
        <w:t xml:space="preserve">also </w:t>
      </w:r>
      <w:r w:rsidRPr="003742D8">
        <w:rPr>
          <w:rFonts w:ascii="Arial" w:hAnsi="Arial" w:cs="Arial"/>
          <w:sz w:val="22"/>
          <w:szCs w:val="22"/>
        </w:rPr>
        <w:t xml:space="preserve">shown that the Agency </w:t>
      </w:r>
      <w:r w:rsidR="009A5CD5">
        <w:rPr>
          <w:rFonts w:ascii="Arial" w:hAnsi="Arial" w:cs="Arial"/>
          <w:sz w:val="22"/>
          <w:szCs w:val="22"/>
        </w:rPr>
        <w:t>c</w:t>
      </w:r>
      <w:r w:rsidRPr="003742D8">
        <w:rPr>
          <w:rFonts w:ascii="Arial" w:hAnsi="Arial" w:cs="Arial"/>
          <w:sz w:val="22"/>
          <w:szCs w:val="22"/>
        </w:rPr>
        <w:t>ould pass onto councils the benefit of its research into public sector financing.</w:t>
      </w:r>
      <w:r w:rsidR="006A660D" w:rsidRPr="003742D8">
        <w:rPr>
          <w:rFonts w:ascii="Arial" w:hAnsi="Arial" w:cs="Arial"/>
          <w:sz w:val="22"/>
          <w:szCs w:val="22"/>
        </w:rPr>
        <w:t xml:space="preserve">  From this expertise it would be possible to develop advisory and tailored lending services and potentially facilitate intra authority lending.</w:t>
      </w:r>
    </w:p>
    <w:p w14:paraId="599F5332" w14:textId="77777777" w:rsidR="006A660D" w:rsidRPr="003742D8" w:rsidRDefault="006A660D" w:rsidP="006A660D">
      <w:pPr>
        <w:pStyle w:val="ListParagraph"/>
        <w:rPr>
          <w:rFonts w:ascii="Arial" w:hAnsi="Arial" w:cs="Arial"/>
          <w:sz w:val="22"/>
          <w:szCs w:val="22"/>
        </w:rPr>
      </w:pPr>
    </w:p>
    <w:p w14:paraId="599F5333" w14:textId="77777777" w:rsidR="006A660D" w:rsidRDefault="00385A93" w:rsidP="006A660D">
      <w:pPr>
        <w:rPr>
          <w:rFonts w:ascii="Arial" w:hAnsi="Arial" w:cs="Arial"/>
          <w:b/>
          <w:sz w:val="22"/>
          <w:szCs w:val="22"/>
        </w:rPr>
      </w:pPr>
      <w:r w:rsidRPr="003742D8">
        <w:rPr>
          <w:rFonts w:ascii="Arial" w:hAnsi="Arial" w:cs="Arial"/>
          <w:b/>
          <w:sz w:val="22"/>
          <w:szCs w:val="22"/>
        </w:rPr>
        <w:t xml:space="preserve">Local Authority </w:t>
      </w:r>
      <w:r w:rsidR="004D3BE1">
        <w:rPr>
          <w:rFonts w:ascii="Arial" w:hAnsi="Arial" w:cs="Arial"/>
          <w:b/>
          <w:sz w:val="22"/>
          <w:szCs w:val="22"/>
        </w:rPr>
        <w:t xml:space="preserve">and investor </w:t>
      </w:r>
      <w:r w:rsidRPr="003742D8">
        <w:rPr>
          <w:rFonts w:ascii="Arial" w:hAnsi="Arial" w:cs="Arial"/>
          <w:b/>
          <w:sz w:val="22"/>
          <w:szCs w:val="22"/>
        </w:rPr>
        <w:t>demand</w:t>
      </w:r>
    </w:p>
    <w:p w14:paraId="599F5334" w14:textId="77777777" w:rsidR="00276290" w:rsidRPr="003742D8" w:rsidRDefault="00276290" w:rsidP="006A660D">
      <w:pPr>
        <w:rPr>
          <w:rFonts w:ascii="Arial" w:hAnsi="Arial" w:cs="Arial"/>
          <w:b/>
          <w:sz w:val="22"/>
          <w:szCs w:val="22"/>
        </w:rPr>
      </w:pPr>
    </w:p>
    <w:p w14:paraId="599F5335" w14:textId="77777777" w:rsidR="007617CA" w:rsidRPr="003742D8" w:rsidRDefault="00276290" w:rsidP="007A2F0D">
      <w:pPr>
        <w:pStyle w:val="ListParagraph"/>
        <w:numPr>
          <w:ilvl w:val="0"/>
          <w:numId w:val="1"/>
        </w:numPr>
        <w:rPr>
          <w:rFonts w:ascii="Arial" w:hAnsi="Arial" w:cs="Arial"/>
          <w:sz w:val="22"/>
          <w:szCs w:val="22"/>
        </w:rPr>
      </w:pPr>
      <w:r>
        <w:rPr>
          <w:rFonts w:ascii="Arial" w:hAnsi="Arial" w:cs="Arial"/>
          <w:sz w:val="22"/>
          <w:szCs w:val="22"/>
        </w:rPr>
        <w:t xml:space="preserve">Councils </w:t>
      </w:r>
      <w:r w:rsidRPr="003742D8">
        <w:rPr>
          <w:rFonts w:ascii="Arial" w:hAnsi="Arial" w:cs="Arial"/>
          <w:sz w:val="22"/>
          <w:szCs w:val="22"/>
        </w:rPr>
        <w:t xml:space="preserve">will </w:t>
      </w:r>
      <w:r>
        <w:rPr>
          <w:rFonts w:ascii="Arial" w:hAnsi="Arial" w:cs="Arial"/>
          <w:sz w:val="22"/>
          <w:szCs w:val="22"/>
        </w:rPr>
        <w:t>have</w:t>
      </w:r>
      <w:r w:rsidRPr="003742D8">
        <w:rPr>
          <w:rFonts w:ascii="Arial" w:hAnsi="Arial" w:cs="Arial"/>
          <w:sz w:val="22"/>
          <w:szCs w:val="22"/>
        </w:rPr>
        <w:t xml:space="preserve"> new borrowing requirements</w:t>
      </w:r>
      <w:r>
        <w:rPr>
          <w:rFonts w:ascii="Arial" w:hAnsi="Arial" w:cs="Arial"/>
          <w:sz w:val="22"/>
          <w:szCs w:val="22"/>
        </w:rPr>
        <w:t xml:space="preserve"> for their capital programmes.  </w:t>
      </w:r>
      <w:r w:rsidRPr="003742D8">
        <w:rPr>
          <w:rFonts w:ascii="Arial" w:hAnsi="Arial" w:cs="Arial"/>
          <w:sz w:val="22"/>
          <w:szCs w:val="22"/>
        </w:rPr>
        <w:t xml:space="preserve"> </w:t>
      </w:r>
      <w:r>
        <w:rPr>
          <w:rFonts w:ascii="Arial" w:hAnsi="Arial" w:cs="Arial"/>
          <w:sz w:val="22"/>
          <w:szCs w:val="22"/>
        </w:rPr>
        <w:t>Our</w:t>
      </w:r>
      <w:r w:rsidR="007617CA" w:rsidRPr="003742D8">
        <w:rPr>
          <w:rFonts w:ascii="Arial" w:hAnsi="Arial" w:cs="Arial"/>
          <w:sz w:val="22"/>
          <w:szCs w:val="22"/>
        </w:rPr>
        <w:t xml:space="preserve"> survey identified</w:t>
      </w:r>
      <w:r>
        <w:rPr>
          <w:rFonts w:ascii="Arial" w:hAnsi="Arial" w:cs="Arial"/>
          <w:sz w:val="22"/>
          <w:szCs w:val="22"/>
        </w:rPr>
        <w:t xml:space="preserve"> a</w:t>
      </w:r>
      <w:r w:rsidR="007617CA" w:rsidRPr="003742D8">
        <w:rPr>
          <w:rFonts w:ascii="Arial" w:hAnsi="Arial" w:cs="Arial"/>
          <w:sz w:val="22"/>
          <w:szCs w:val="22"/>
        </w:rPr>
        <w:t xml:space="preserve"> borrowing requirement of £5</w:t>
      </w:r>
      <w:r>
        <w:rPr>
          <w:rFonts w:ascii="Arial" w:hAnsi="Arial" w:cs="Arial"/>
          <w:sz w:val="22"/>
          <w:szCs w:val="22"/>
        </w:rPr>
        <w:t xml:space="preserve"> </w:t>
      </w:r>
      <w:r w:rsidR="007617CA" w:rsidRPr="003742D8">
        <w:rPr>
          <w:rFonts w:ascii="Arial" w:hAnsi="Arial" w:cs="Arial"/>
          <w:sz w:val="22"/>
          <w:szCs w:val="22"/>
        </w:rPr>
        <w:t xml:space="preserve">billion over the next three years </w:t>
      </w:r>
      <w:r>
        <w:rPr>
          <w:rFonts w:ascii="Arial" w:hAnsi="Arial" w:cs="Arial"/>
          <w:sz w:val="22"/>
          <w:szCs w:val="22"/>
        </w:rPr>
        <w:t xml:space="preserve">from just 46 councils, </w:t>
      </w:r>
      <w:r w:rsidR="007617CA" w:rsidRPr="003742D8">
        <w:rPr>
          <w:rFonts w:ascii="Arial" w:hAnsi="Arial" w:cs="Arial"/>
          <w:sz w:val="22"/>
          <w:szCs w:val="22"/>
        </w:rPr>
        <w:t xml:space="preserve">with 43 expressing an interest in using the </w:t>
      </w:r>
      <w:r w:rsidR="00625906">
        <w:rPr>
          <w:rFonts w:ascii="Arial" w:hAnsi="Arial" w:cs="Arial"/>
          <w:sz w:val="22"/>
          <w:szCs w:val="22"/>
        </w:rPr>
        <w:t>A</w:t>
      </w:r>
      <w:r w:rsidR="007617CA" w:rsidRPr="003742D8">
        <w:rPr>
          <w:rFonts w:ascii="Arial" w:hAnsi="Arial" w:cs="Arial"/>
          <w:sz w:val="22"/>
          <w:szCs w:val="22"/>
        </w:rPr>
        <w:t>gency</w:t>
      </w:r>
      <w:r w:rsidR="004D3BE1">
        <w:rPr>
          <w:rFonts w:ascii="Arial" w:hAnsi="Arial" w:cs="Arial"/>
          <w:sz w:val="22"/>
          <w:szCs w:val="22"/>
        </w:rPr>
        <w:t>.</w:t>
      </w:r>
      <w:r w:rsidRPr="00276290">
        <w:rPr>
          <w:rFonts w:ascii="Arial" w:hAnsi="Arial" w:cs="Arial"/>
          <w:sz w:val="22"/>
          <w:szCs w:val="22"/>
        </w:rPr>
        <w:t xml:space="preserve"> </w:t>
      </w:r>
      <w:r>
        <w:rPr>
          <w:rFonts w:ascii="Arial" w:hAnsi="Arial" w:cs="Arial"/>
          <w:sz w:val="22"/>
          <w:szCs w:val="22"/>
        </w:rPr>
        <w:t xml:space="preserve">The outstanding stock of </w:t>
      </w:r>
      <w:r w:rsidRPr="003742D8">
        <w:rPr>
          <w:rFonts w:ascii="Arial" w:hAnsi="Arial" w:cs="Arial"/>
          <w:sz w:val="22"/>
          <w:szCs w:val="22"/>
        </w:rPr>
        <w:t xml:space="preserve">PWLB </w:t>
      </w:r>
      <w:r>
        <w:rPr>
          <w:rFonts w:ascii="Arial" w:hAnsi="Arial" w:cs="Arial"/>
          <w:sz w:val="22"/>
          <w:szCs w:val="22"/>
        </w:rPr>
        <w:t>debt</w:t>
      </w:r>
      <w:r w:rsidRPr="003742D8">
        <w:rPr>
          <w:rFonts w:ascii="Arial" w:hAnsi="Arial" w:cs="Arial"/>
          <w:sz w:val="22"/>
          <w:szCs w:val="22"/>
        </w:rPr>
        <w:t xml:space="preserve"> matures at £1.7 billion a year</w:t>
      </w:r>
      <w:r>
        <w:rPr>
          <w:rFonts w:ascii="Arial" w:hAnsi="Arial" w:cs="Arial"/>
          <w:sz w:val="22"/>
          <w:szCs w:val="22"/>
        </w:rPr>
        <w:t>. Much of that will require refinancing. B</w:t>
      </w:r>
      <w:r w:rsidRPr="003742D8">
        <w:rPr>
          <w:rFonts w:ascii="Arial" w:hAnsi="Arial" w:cs="Arial"/>
          <w:sz w:val="22"/>
          <w:szCs w:val="22"/>
        </w:rPr>
        <w:t xml:space="preserve">orrowing from banks is </w:t>
      </w:r>
      <w:r>
        <w:rPr>
          <w:rFonts w:ascii="Arial" w:hAnsi="Arial" w:cs="Arial"/>
          <w:sz w:val="22"/>
          <w:szCs w:val="22"/>
        </w:rPr>
        <w:t>forecast</w:t>
      </w:r>
      <w:r w:rsidRPr="003742D8">
        <w:rPr>
          <w:rFonts w:ascii="Arial" w:hAnsi="Arial" w:cs="Arial"/>
          <w:sz w:val="22"/>
          <w:szCs w:val="22"/>
        </w:rPr>
        <w:t xml:space="preserve"> to become increasingly expensive</w:t>
      </w:r>
      <w:r>
        <w:rPr>
          <w:rFonts w:ascii="Arial" w:hAnsi="Arial" w:cs="Arial"/>
          <w:sz w:val="22"/>
          <w:szCs w:val="22"/>
        </w:rPr>
        <w:t xml:space="preserve">.  </w:t>
      </w:r>
      <w:r w:rsidR="007617CA" w:rsidRPr="003742D8">
        <w:rPr>
          <w:rFonts w:ascii="Arial" w:hAnsi="Arial" w:cs="Arial"/>
          <w:sz w:val="22"/>
          <w:szCs w:val="22"/>
        </w:rPr>
        <w:t>It is estimated that annual local authority borrowing over the next three years will be between £3billion and £5 billion.</w:t>
      </w:r>
      <w:r w:rsidR="00257543">
        <w:rPr>
          <w:rFonts w:ascii="Arial" w:hAnsi="Arial" w:cs="Arial"/>
          <w:sz w:val="22"/>
          <w:szCs w:val="22"/>
        </w:rPr>
        <w:t xml:space="preserve"> </w:t>
      </w:r>
    </w:p>
    <w:p w14:paraId="599F5336" w14:textId="77777777" w:rsidR="007617CA" w:rsidRPr="003742D8" w:rsidRDefault="007617CA" w:rsidP="007617CA">
      <w:pPr>
        <w:pStyle w:val="ListParagraph"/>
        <w:ind w:left="360"/>
        <w:rPr>
          <w:rFonts w:ascii="Arial" w:hAnsi="Arial" w:cs="Arial"/>
          <w:sz w:val="22"/>
          <w:szCs w:val="22"/>
        </w:rPr>
      </w:pPr>
    </w:p>
    <w:p w14:paraId="599F5337" w14:textId="77777777" w:rsidR="00E41170" w:rsidRPr="003742D8" w:rsidRDefault="00625906" w:rsidP="007A2F0D">
      <w:pPr>
        <w:pStyle w:val="ListParagraph"/>
        <w:numPr>
          <w:ilvl w:val="0"/>
          <w:numId w:val="1"/>
        </w:numPr>
        <w:rPr>
          <w:rFonts w:ascii="Arial" w:hAnsi="Arial" w:cs="Arial"/>
          <w:sz w:val="22"/>
          <w:szCs w:val="22"/>
        </w:rPr>
      </w:pPr>
      <w:r>
        <w:rPr>
          <w:rFonts w:ascii="Arial" w:hAnsi="Arial" w:cs="Arial"/>
          <w:sz w:val="22"/>
          <w:szCs w:val="22"/>
        </w:rPr>
        <w:t>B</w:t>
      </w:r>
      <w:r w:rsidR="004C3929" w:rsidRPr="003742D8">
        <w:rPr>
          <w:rFonts w:ascii="Arial" w:hAnsi="Arial" w:cs="Arial"/>
          <w:sz w:val="22"/>
          <w:szCs w:val="22"/>
        </w:rPr>
        <w:t>anks</w:t>
      </w:r>
      <w:r w:rsidR="007E490F" w:rsidRPr="003742D8">
        <w:rPr>
          <w:rFonts w:ascii="Arial" w:hAnsi="Arial" w:cs="Arial"/>
          <w:sz w:val="22"/>
          <w:szCs w:val="22"/>
        </w:rPr>
        <w:t xml:space="preserve"> have</w:t>
      </w:r>
      <w:r w:rsidR="004C3929" w:rsidRPr="003742D8">
        <w:rPr>
          <w:rFonts w:ascii="Arial" w:hAnsi="Arial" w:cs="Arial"/>
          <w:sz w:val="22"/>
          <w:szCs w:val="22"/>
        </w:rPr>
        <w:t xml:space="preserve"> </w:t>
      </w:r>
      <w:r w:rsidR="00192869" w:rsidRPr="003742D8">
        <w:rPr>
          <w:rFonts w:ascii="Arial" w:hAnsi="Arial" w:cs="Arial"/>
          <w:sz w:val="22"/>
          <w:szCs w:val="22"/>
        </w:rPr>
        <w:t>indicated</w:t>
      </w:r>
      <w:r w:rsidR="004C3929" w:rsidRPr="003742D8">
        <w:rPr>
          <w:rFonts w:ascii="Arial" w:hAnsi="Arial" w:cs="Arial"/>
          <w:sz w:val="22"/>
          <w:szCs w:val="22"/>
        </w:rPr>
        <w:t xml:space="preserve"> </w:t>
      </w:r>
      <w:r w:rsidR="00932790">
        <w:rPr>
          <w:rFonts w:ascii="Arial" w:hAnsi="Arial" w:cs="Arial"/>
          <w:sz w:val="22"/>
          <w:szCs w:val="22"/>
        </w:rPr>
        <w:t>a</w:t>
      </w:r>
      <w:r w:rsidR="004C3929" w:rsidRPr="003742D8">
        <w:rPr>
          <w:rFonts w:ascii="Arial" w:hAnsi="Arial" w:cs="Arial"/>
          <w:sz w:val="22"/>
          <w:szCs w:val="22"/>
        </w:rPr>
        <w:t xml:space="preserve"> likely significant </w:t>
      </w:r>
      <w:r w:rsidR="00276290">
        <w:rPr>
          <w:rFonts w:ascii="Arial" w:hAnsi="Arial" w:cs="Arial"/>
          <w:sz w:val="22"/>
          <w:szCs w:val="22"/>
        </w:rPr>
        <w:t xml:space="preserve">investor </w:t>
      </w:r>
      <w:r w:rsidR="004C3929" w:rsidRPr="003742D8">
        <w:rPr>
          <w:rFonts w:ascii="Arial" w:hAnsi="Arial" w:cs="Arial"/>
          <w:sz w:val="22"/>
          <w:szCs w:val="22"/>
        </w:rPr>
        <w:t>demand for the Agency’s bonds</w:t>
      </w:r>
      <w:r w:rsidR="00276290">
        <w:rPr>
          <w:rFonts w:ascii="Arial" w:hAnsi="Arial" w:cs="Arial"/>
          <w:sz w:val="22"/>
          <w:szCs w:val="22"/>
        </w:rPr>
        <w:t>.</w:t>
      </w:r>
      <w:r w:rsidR="007E490F" w:rsidRPr="003742D8">
        <w:rPr>
          <w:rFonts w:ascii="Arial" w:hAnsi="Arial" w:cs="Arial"/>
          <w:sz w:val="22"/>
          <w:szCs w:val="22"/>
        </w:rPr>
        <w:t xml:space="preserve"> </w:t>
      </w:r>
      <w:r w:rsidR="00276290">
        <w:rPr>
          <w:rFonts w:ascii="Arial" w:hAnsi="Arial" w:cs="Arial"/>
          <w:sz w:val="22"/>
          <w:szCs w:val="22"/>
        </w:rPr>
        <w:t>A</w:t>
      </w:r>
      <w:r w:rsidR="0039300A">
        <w:rPr>
          <w:rFonts w:ascii="Arial" w:hAnsi="Arial" w:cs="Arial"/>
          <w:sz w:val="22"/>
          <w:szCs w:val="22"/>
        </w:rPr>
        <w:t>t</w:t>
      </w:r>
      <w:r w:rsidR="007E490F" w:rsidRPr="003742D8">
        <w:rPr>
          <w:rFonts w:ascii="Arial" w:hAnsi="Arial" w:cs="Arial"/>
          <w:sz w:val="22"/>
          <w:szCs w:val="22"/>
        </w:rPr>
        <w:t xml:space="preserve"> </w:t>
      </w:r>
      <w:r w:rsidR="00276290">
        <w:rPr>
          <w:rFonts w:ascii="Arial" w:hAnsi="Arial" w:cs="Arial"/>
          <w:sz w:val="22"/>
          <w:szCs w:val="22"/>
        </w:rPr>
        <w:t xml:space="preserve">the same </w:t>
      </w:r>
      <w:r w:rsidR="007E490F" w:rsidRPr="003742D8">
        <w:rPr>
          <w:rFonts w:ascii="Arial" w:hAnsi="Arial" w:cs="Arial"/>
          <w:sz w:val="22"/>
          <w:szCs w:val="22"/>
        </w:rPr>
        <w:t xml:space="preserve">price </w:t>
      </w:r>
      <w:r w:rsidR="00276290">
        <w:rPr>
          <w:rFonts w:ascii="Arial" w:hAnsi="Arial" w:cs="Arial"/>
          <w:sz w:val="22"/>
          <w:szCs w:val="22"/>
        </w:rPr>
        <w:t xml:space="preserve">as </w:t>
      </w:r>
      <w:r w:rsidR="007E490F" w:rsidRPr="003742D8">
        <w:rPr>
          <w:rFonts w:ascii="Arial" w:hAnsi="Arial" w:cs="Arial"/>
          <w:sz w:val="22"/>
          <w:szCs w:val="22"/>
        </w:rPr>
        <w:t>Transport for London (</w:t>
      </w:r>
      <w:proofErr w:type="spellStart"/>
      <w:r w:rsidR="007E490F" w:rsidRPr="003742D8">
        <w:rPr>
          <w:rFonts w:ascii="Arial" w:hAnsi="Arial" w:cs="Arial"/>
          <w:sz w:val="22"/>
          <w:szCs w:val="22"/>
        </w:rPr>
        <w:t>TfL</w:t>
      </w:r>
      <w:proofErr w:type="spellEnd"/>
      <w:r w:rsidR="007E490F" w:rsidRPr="003742D8">
        <w:rPr>
          <w:rFonts w:ascii="Arial" w:hAnsi="Arial" w:cs="Arial"/>
          <w:sz w:val="22"/>
          <w:szCs w:val="22"/>
        </w:rPr>
        <w:t>)</w:t>
      </w:r>
      <w:r w:rsidR="00276290">
        <w:rPr>
          <w:rFonts w:ascii="Arial" w:hAnsi="Arial" w:cs="Arial"/>
          <w:sz w:val="22"/>
          <w:szCs w:val="22"/>
        </w:rPr>
        <w:t>’s</w:t>
      </w:r>
      <w:r w:rsidR="007E490F" w:rsidRPr="003742D8">
        <w:rPr>
          <w:rFonts w:ascii="Arial" w:hAnsi="Arial" w:cs="Arial"/>
          <w:sz w:val="22"/>
          <w:szCs w:val="22"/>
        </w:rPr>
        <w:t xml:space="preserve"> </w:t>
      </w:r>
      <w:r w:rsidR="00276290">
        <w:rPr>
          <w:rFonts w:ascii="Arial" w:hAnsi="Arial" w:cs="Arial"/>
          <w:sz w:val="22"/>
          <w:szCs w:val="22"/>
        </w:rPr>
        <w:t xml:space="preserve">double-A rated </w:t>
      </w:r>
      <w:r w:rsidR="007E490F" w:rsidRPr="003742D8">
        <w:rPr>
          <w:rFonts w:ascii="Arial" w:hAnsi="Arial" w:cs="Arial"/>
          <w:sz w:val="22"/>
          <w:szCs w:val="22"/>
        </w:rPr>
        <w:t>bonds</w:t>
      </w:r>
      <w:r w:rsidR="00276290">
        <w:rPr>
          <w:rFonts w:ascii="Arial" w:hAnsi="Arial" w:cs="Arial"/>
          <w:sz w:val="22"/>
          <w:szCs w:val="22"/>
        </w:rPr>
        <w:t xml:space="preserve">, council </w:t>
      </w:r>
      <w:r w:rsidR="00B5173A" w:rsidRPr="003742D8">
        <w:rPr>
          <w:rFonts w:ascii="Arial" w:hAnsi="Arial" w:cs="Arial"/>
          <w:sz w:val="22"/>
          <w:szCs w:val="22"/>
        </w:rPr>
        <w:t xml:space="preserve">borrowers </w:t>
      </w:r>
      <w:r w:rsidR="00276290">
        <w:rPr>
          <w:rFonts w:ascii="Arial" w:hAnsi="Arial" w:cs="Arial"/>
          <w:sz w:val="22"/>
          <w:szCs w:val="22"/>
        </w:rPr>
        <w:t xml:space="preserve">would </w:t>
      </w:r>
      <w:r w:rsidR="00B5173A" w:rsidRPr="003742D8">
        <w:rPr>
          <w:rFonts w:ascii="Arial" w:hAnsi="Arial" w:cs="Arial"/>
          <w:sz w:val="22"/>
          <w:szCs w:val="22"/>
        </w:rPr>
        <w:t>sav</w:t>
      </w:r>
      <w:r w:rsidR="00276290">
        <w:rPr>
          <w:rFonts w:ascii="Arial" w:hAnsi="Arial" w:cs="Arial"/>
          <w:sz w:val="22"/>
          <w:szCs w:val="22"/>
        </w:rPr>
        <w:t>e</w:t>
      </w:r>
      <w:r w:rsidR="00B5173A" w:rsidRPr="003742D8">
        <w:rPr>
          <w:rFonts w:ascii="Arial" w:hAnsi="Arial" w:cs="Arial"/>
          <w:sz w:val="22"/>
          <w:szCs w:val="22"/>
        </w:rPr>
        <w:t xml:space="preserve"> </w:t>
      </w:r>
      <w:r>
        <w:rPr>
          <w:rFonts w:ascii="Arial" w:hAnsi="Arial" w:cs="Arial"/>
          <w:sz w:val="22"/>
          <w:szCs w:val="22"/>
        </w:rPr>
        <w:t>around</w:t>
      </w:r>
      <w:r w:rsidR="00B5173A" w:rsidRPr="003742D8">
        <w:rPr>
          <w:rFonts w:ascii="Arial" w:hAnsi="Arial" w:cs="Arial"/>
          <w:sz w:val="22"/>
          <w:szCs w:val="22"/>
        </w:rPr>
        <w:t xml:space="preserve"> five basis points</w:t>
      </w:r>
      <w:r w:rsidR="0039300A">
        <w:rPr>
          <w:rFonts w:ascii="Arial" w:hAnsi="Arial" w:cs="Arial"/>
          <w:sz w:val="22"/>
          <w:szCs w:val="22"/>
        </w:rPr>
        <w:t xml:space="preserve"> (bps)</w:t>
      </w:r>
      <w:r w:rsidR="00B5173A" w:rsidRPr="003742D8">
        <w:rPr>
          <w:rFonts w:ascii="Arial" w:hAnsi="Arial" w:cs="Arial"/>
          <w:sz w:val="22"/>
          <w:szCs w:val="22"/>
        </w:rPr>
        <w:t xml:space="preserve"> </w:t>
      </w:r>
      <w:r w:rsidR="00276290">
        <w:rPr>
          <w:rFonts w:ascii="Arial" w:hAnsi="Arial" w:cs="Arial"/>
          <w:sz w:val="22"/>
          <w:szCs w:val="22"/>
        </w:rPr>
        <w:t>against</w:t>
      </w:r>
      <w:r w:rsidR="00B5173A" w:rsidRPr="003742D8">
        <w:rPr>
          <w:rFonts w:ascii="Arial" w:hAnsi="Arial" w:cs="Arial"/>
          <w:sz w:val="22"/>
          <w:szCs w:val="22"/>
        </w:rPr>
        <w:t xml:space="preserve"> the PWLB certainty rate</w:t>
      </w:r>
      <w:r w:rsidR="00BA7AE1">
        <w:rPr>
          <w:rFonts w:ascii="Arial" w:hAnsi="Arial" w:cs="Arial"/>
          <w:sz w:val="22"/>
          <w:szCs w:val="22"/>
        </w:rPr>
        <w:t xml:space="preserve"> (80bps).</w:t>
      </w:r>
      <w:r w:rsidR="00B5173A" w:rsidRPr="003742D8">
        <w:rPr>
          <w:rFonts w:ascii="Arial" w:hAnsi="Arial" w:cs="Arial"/>
          <w:sz w:val="22"/>
          <w:szCs w:val="22"/>
        </w:rPr>
        <w:t xml:space="preserve"> </w:t>
      </w:r>
      <w:r w:rsidR="00BA7AE1">
        <w:rPr>
          <w:rFonts w:ascii="Arial" w:hAnsi="Arial" w:cs="Arial"/>
          <w:sz w:val="22"/>
          <w:szCs w:val="22"/>
        </w:rPr>
        <w:t>T</w:t>
      </w:r>
      <w:r w:rsidR="00B5173A" w:rsidRPr="003742D8">
        <w:rPr>
          <w:rFonts w:ascii="Arial" w:hAnsi="Arial" w:cs="Arial"/>
          <w:sz w:val="22"/>
          <w:szCs w:val="22"/>
        </w:rPr>
        <w:t xml:space="preserve">o achieve better bond pricing, </w:t>
      </w:r>
      <w:r w:rsidR="00BA7AE1">
        <w:rPr>
          <w:rFonts w:ascii="Arial" w:hAnsi="Arial" w:cs="Arial"/>
          <w:sz w:val="22"/>
          <w:szCs w:val="22"/>
        </w:rPr>
        <w:t>the Agency</w:t>
      </w:r>
      <w:r w:rsidR="00B5173A" w:rsidRPr="003742D8">
        <w:rPr>
          <w:rFonts w:ascii="Arial" w:hAnsi="Arial" w:cs="Arial"/>
          <w:sz w:val="22"/>
          <w:szCs w:val="22"/>
        </w:rPr>
        <w:t xml:space="preserve"> w</w:t>
      </w:r>
      <w:r w:rsidR="00932790">
        <w:rPr>
          <w:rFonts w:ascii="Arial" w:hAnsi="Arial" w:cs="Arial"/>
          <w:sz w:val="22"/>
          <w:szCs w:val="22"/>
        </w:rPr>
        <w:t>ould</w:t>
      </w:r>
      <w:r w:rsidR="00276290">
        <w:rPr>
          <w:rFonts w:ascii="Arial" w:hAnsi="Arial" w:cs="Arial"/>
          <w:sz w:val="22"/>
          <w:szCs w:val="22"/>
        </w:rPr>
        <w:t xml:space="preserve"> need a</w:t>
      </w:r>
      <w:r w:rsidR="008B5F5E">
        <w:rPr>
          <w:rFonts w:ascii="Arial" w:hAnsi="Arial" w:cs="Arial"/>
          <w:sz w:val="22"/>
          <w:szCs w:val="22"/>
        </w:rPr>
        <w:t>n</w:t>
      </w:r>
      <w:r w:rsidR="00276290">
        <w:rPr>
          <w:rFonts w:ascii="Arial" w:hAnsi="Arial" w:cs="Arial"/>
          <w:sz w:val="22"/>
          <w:szCs w:val="22"/>
        </w:rPr>
        <w:t xml:space="preserve"> </w:t>
      </w:r>
      <w:r w:rsidR="00B5173A" w:rsidRPr="003742D8">
        <w:rPr>
          <w:rFonts w:ascii="Arial" w:hAnsi="Arial" w:cs="Arial"/>
          <w:sz w:val="22"/>
          <w:szCs w:val="22"/>
        </w:rPr>
        <w:t>AAA/sovereign like</w:t>
      </w:r>
      <w:r w:rsidR="00276290">
        <w:rPr>
          <w:rFonts w:ascii="Arial" w:hAnsi="Arial" w:cs="Arial"/>
          <w:sz w:val="22"/>
          <w:szCs w:val="22"/>
        </w:rPr>
        <w:t xml:space="preserve"> rating</w:t>
      </w:r>
      <w:r w:rsidR="00B5173A" w:rsidRPr="003742D8">
        <w:rPr>
          <w:rFonts w:ascii="Arial" w:hAnsi="Arial" w:cs="Arial"/>
          <w:sz w:val="22"/>
          <w:szCs w:val="22"/>
        </w:rPr>
        <w:t xml:space="preserve">.  </w:t>
      </w:r>
      <w:r w:rsidR="00276290">
        <w:rPr>
          <w:rFonts w:ascii="Arial" w:hAnsi="Arial" w:cs="Arial"/>
          <w:sz w:val="22"/>
          <w:szCs w:val="22"/>
        </w:rPr>
        <w:t>That could be achievable by holding</w:t>
      </w:r>
      <w:r w:rsidR="00B5173A" w:rsidRPr="003742D8">
        <w:rPr>
          <w:rFonts w:ascii="Arial" w:hAnsi="Arial" w:cs="Arial"/>
          <w:sz w:val="22"/>
          <w:szCs w:val="22"/>
        </w:rPr>
        <w:t xml:space="preserve"> risk capital between </w:t>
      </w:r>
      <w:r w:rsidR="00F50C19">
        <w:rPr>
          <w:rFonts w:ascii="Arial" w:hAnsi="Arial" w:cs="Arial"/>
          <w:sz w:val="22"/>
          <w:szCs w:val="22"/>
        </w:rPr>
        <w:t xml:space="preserve">three </w:t>
      </w:r>
      <w:r w:rsidR="00B5173A" w:rsidRPr="003742D8">
        <w:rPr>
          <w:rFonts w:ascii="Arial" w:hAnsi="Arial" w:cs="Arial"/>
          <w:sz w:val="22"/>
          <w:szCs w:val="22"/>
        </w:rPr>
        <w:t>and five per cent</w:t>
      </w:r>
      <w:r w:rsidR="00BA7AE1">
        <w:rPr>
          <w:rFonts w:ascii="Arial" w:hAnsi="Arial" w:cs="Arial"/>
          <w:sz w:val="22"/>
          <w:szCs w:val="22"/>
        </w:rPr>
        <w:t>;</w:t>
      </w:r>
      <w:r w:rsidR="00B5173A" w:rsidRPr="003742D8">
        <w:rPr>
          <w:rFonts w:ascii="Arial" w:hAnsi="Arial" w:cs="Arial"/>
          <w:sz w:val="22"/>
          <w:szCs w:val="22"/>
        </w:rPr>
        <w:t xml:space="preserve"> </w:t>
      </w:r>
      <w:r w:rsidR="00FB1F7A">
        <w:rPr>
          <w:rFonts w:ascii="Arial" w:hAnsi="Arial" w:cs="Arial"/>
          <w:sz w:val="22"/>
          <w:szCs w:val="22"/>
        </w:rPr>
        <w:t xml:space="preserve">holding </w:t>
      </w:r>
      <w:r w:rsidR="00B5173A" w:rsidRPr="003742D8">
        <w:rPr>
          <w:rFonts w:ascii="Arial" w:hAnsi="Arial" w:cs="Arial"/>
          <w:sz w:val="22"/>
          <w:szCs w:val="22"/>
        </w:rPr>
        <w:t>adequate liquidity</w:t>
      </w:r>
      <w:r w:rsidR="00BA7AE1">
        <w:rPr>
          <w:rFonts w:ascii="Arial" w:hAnsi="Arial" w:cs="Arial"/>
          <w:sz w:val="22"/>
          <w:szCs w:val="22"/>
        </w:rPr>
        <w:t>;</w:t>
      </w:r>
      <w:r w:rsidR="00B5173A" w:rsidRPr="003742D8">
        <w:rPr>
          <w:rFonts w:ascii="Arial" w:hAnsi="Arial" w:cs="Arial"/>
          <w:sz w:val="22"/>
          <w:szCs w:val="22"/>
        </w:rPr>
        <w:t xml:space="preserve"> </w:t>
      </w:r>
      <w:r w:rsidR="00276290">
        <w:rPr>
          <w:rFonts w:ascii="Arial" w:hAnsi="Arial" w:cs="Arial"/>
          <w:sz w:val="22"/>
          <w:szCs w:val="22"/>
        </w:rPr>
        <w:t xml:space="preserve">providing </w:t>
      </w:r>
      <w:r w:rsidR="00B5173A" w:rsidRPr="003742D8">
        <w:rPr>
          <w:rFonts w:ascii="Arial" w:hAnsi="Arial" w:cs="Arial"/>
          <w:sz w:val="22"/>
          <w:szCs w:val="22"/>
        </w:rPr>
        <w:t>a joint and several guarantee from borrowers</w:t>
      </w:r>
      <w:r w:rsidR="00BA7AE1">
        <w:rPr>
          <w:rFonts w:ascii="Arial" w:hAnsi="Arial" w:cs="Arial"/>
          <w:sz w:val="22"/>
          <w:szCs w:val="22"/>
        </w:rPr>
        <w:t>;</w:t>
      </w:r>
      <w:r w:rsidR="00B5173A" w:rsidRPr="003742D8">
        <w:rPr>
          <w:rFonts w:ascii="Arial" w:hAnsi="Arial" w:cs="Arial"/>
          <w:sz w:val="22"/>
          <w:szCs w:val="22"/>
        </w:rPr>
        <w:t xml:space="preserve"> and </w:t>
      </w:r>
      <w:r w:rsidR="00276290">
        <w:rPr>
          <w:rFonts w:ascii="Arial" w:hAnsi="Arial" w:cs="Arial"/>
          <w:sz w:val="22"/>
          <w:szCs w:val="22"/>
        </w:rPr>
        <w:t xml:space="preserve">ensuring </w:t>
      </w:r>
      <w:r w:rsidR="00B5173A" w:rsidRPr="003742D8">
        <w:rPr>
          <w:rFonts w:ascii="Arial" w:hAnsi="Arial" w:cs="Arial"/>
          <w:sz w:val="22"/>
          <w:szCs w:val="22"/>
        </w:rPr>
        <w:t>a diverse portfolio of borrowers</w:t>
      </w:r>
      <w:r w:rsidR="00276290">
        <w:rPr>
          <w:rFonts w:ascii="Arial" w:hAnsi="Arial" w:cs="Arial"/>
          <w:sz w:val="22"/>
          <w:szCs w:val="22"/>
        </w:rPr>
        <w:t>.</w:t>
      </w:r>
      <w:r w:rsidR="00B5173A" w:rsidRPr="003742D8">
        <w:rPr>
          <w:rFonts w:ascii="Arial" w:hAnsi="Arial" w:cs="Arial"/>
          <w:sz w:val="22"/>
          <w:szCs w:val="22"/>
        </w:rPr>
        <w:t xml:space="preserve"> An AAA/sovereign like rating combined with a joint and several </w:t>
      </w:r>
      <w:proofErr w:type="gramStart"/>
      <w:r w:rsidR="00B5173A" w:rsidRPr="003742D8">
        <w:rPr>
          <w:rFonts w:ascii="Arial" w:hAnsi="Arial" w:cs="Arial"/>
          <w:sz w:val="22"/>
          <w:szCs w:val="22"/>
        </w:rPr>
        <w:t>guarantee</w:t>
      </w:r>
      <w:proofErr w:type="gramEnd"/>
      <w:r w:rsidR="00B5173A" w:rsidRPr="003742D8">
        <w:rPr>
          <w:rFonts w:ascii="Arial" w:hAnsi="Arial" w:cs="Arial"/>
          <w:sz w:val="22"/>
          <w:szCs w:val="22"/>
        </w:rPr>
        <w:t xml:space="preserve"> should deliver </w:t>
      </w:r>
      <w:r w:rsidR="001D2DC9">
        <w:rPr>
          <w:rFonts w:ascii="Arial" w:hAnsi="Arial" w:cs="Arial"/>
          <w:sz w:val="22"/>
          <w:szCs w:val="22"/>
        </w:rPr>
        <w:t xml:space="preserve">significant </w:t>
      </w:r>
      <w:r w:rsidR="00B5173A" w:rsidRPr="003742D8">
        <w:rPr>
          <w:rFonts w:ascii="Arial" w:hAnsi="Arial" w:cs="Arial"/>
          <w:sz w:val="22"/>
          <w:szCs w:val="22"/>
        </w:rPr>
        <w:t>savi</w:t>
      </w:r>
      <w:r w:rsidR="00276290">
        <w:rPr>
          <w:rFonts w:ascii="Arial" w:hAnsi="Arial" w:cs="Arial"/>
          <w:sz w:val="22"/>
          <w:szCs w:val="22"/>
        </w:rPr>
        <w:t>ngs to borrowers</w:t>
      </w:r>
      <w:r w:rsidR="00B5173A" w:rsidRPr="003742D8">
        <w:rPr>
          <w:rFonts w:ascii="Arial" w:hAnsi="Arial" w:cs="Arial"/>
          <w:sz w:val="22"/>
          <w:szCs w:val="22"/>
        </w:rPr>
        <w:t>.</w:t>
      </w:r>
    </w:p>
    <w:p w14:paraId="599F5338" w14:textId="77777777" w:rsidR="00E41170" w:rsidRPr="003742D8" w:rsidRDefault="00E41170" w:rsidP="00E41170">
      <w:pPr>
        <w:pStyle w:val="ListParagraph"/>
        <w:ind w:left="360"/>
        <w:rPr>
          <w:rFonts w:ascii="Arial" w:hAnsi="Arial" w:cs="Arial"/>
          <w:sz w:val="22"/>
          <w:szCs w:val="22"/>
        </w:rPr>
      </w:pPr>
    </w:p>
    <w:p w14:paraId="599F5339" w14:textId="77777777" w:rsidR="007617CA" w:rsidRPr="003742D8" w:rsidRDefault="00625906" w:rsidP="007A2F0D">
      <w:pPr>
        <w:pStyle w:val="ListParagraph"/>
        <w:numPr>
          <w:ilvl w:val="0"/>
          <w:numId w:val="1"/>
        </w:numPr>
        <w:rPr>
          <w:rFonts w:ascii="Arial" w:hAnsi="Arial" w:cs="Arial"/>
          <w:sz w:val="22"/>
          <w:szCs w:val="22"/>
        </w:rPr>
      </w:pPr>
      <w:r>
        <w:rPr>
          <w:rFonts w:ascii="Arial" w:hAnsi="Arial" w:cs="Arial"/>
          <w:sz w:val="22"/>
          <w:szCs w:val="22"/>
        </w:rPr>
        <w:t xml:space="preserve">Because the </w:t>
      </w:r>
      <w:r w:rsidR="00C249FF" w:rsidRPr="003742D8">
        <w:rPr>
          <w:rFonts w:ascii="Arial" w:hAnsi="Arial" w:cs="Arial"/>
          <w:sz w:val="22"/>
          <w:szCs w:val="22"/>
        </w:rPr>
        <w:t xml:space="preserve">Agency </w:t>
      </w:r>
      <w:r w:rsidRPr="003742D8">
        <w:rPr>
          <w:rFonts w:ascii="Arial" w:hAnsi="Arial" w:cs="Arial"/>
          <w:sz w:val="22"/>
          <w:szCs w:val="22"/>
        </w:rPr>
        <w:t>will be new to the market</w:t>
      </w:r>
      <w:r>
        <w:rPr>
          <w:rFonts w:ascii="Arial" w:hAnsi="Arial" w:cs="Arial"/>
          <w:sz w:val="22"/>
          <w:szCs w:val="22"/>
        </w:rPr>
        <w:t>, it</w:t>
      </w:r>
      <w:r w:rsidRPr="003742D8">
        <w:rPr>
          <w:rFonts w:ascii="Arial" w:hAnsi="Arial" w:cs="Arial"/>
          <w:sz w:val="22"/>
          <w:szCs w:val="22"/>
        </w:rPr>
        <w:t xml:space="preserve"> </w:t>
      </w:r>
      <w:r w:rsidR="00C249FF" w:rsidRPr="003742D8">
        <w:rPr>
          <w:rFonts w:ascii="Arial" w:hAnsi="Arial" w:cs="Arial"/>
          <w:sz w:val="22"/>
          <w:szCs w:val="22"/>
        </w:rPr>
        <w:t xml:space="preserve">is likely to </w:t>
      </w:r>
      <w:r w:rsidR="00276290">
        <w:rPr>
          <w:rFonts w:ascii="Arial" w:hAnsi="Arial" w:cs="Arial"/>
          <w:sz w:val="22"/>
          <w:szCs w:val="22"/>
        </w:rPr>
        <w:t xml:space="preserve">need to pay </w:t>
      </w:r>
      <w:r w:rsidR="001D2DC9">
        <w:rPr>
          <w:rFonts w:ascii="Arial" w:hAnsi="Arial" w:cs="Arial"/>
          <w:sz w:val="22"/>
          <w:szCs w:val="22"/>
        </w:rPr>
        <w:t xml:space="preserve">a </w:t>
      </w:r>
      <w:r w:rsidR="00C249FF" w:rsidRPr="003742D8">
        <w:rPr>
          <w:rFonts w:ascii="Arial" w:hAnsi="Arial" w:cs="Arial"/>
          <w:sz w:val="22"/>
          <w:szCs w:val="22"/>
        </w:rPr>
        <w:t xml:space="preserve">new issue </w:t>
      </w:r>
      <w:r w:rsidR="001D2DC9">
        <w:rPr>
          <w:rFonts w:ascii="Arial" w:hAnsi="Arial" w:cs="Arial"/>
          <w:sz w:val="22"/>
          <w:szCs w:val="22"/>
        </w:rPr>
        <w:t>p</w:t>
      </w:r>
      <w:r w:rsidR="00C249FF" w:rsidRPr="003742D8">
        <w:rPr>
          <w:rFonts w:ascii="Arial" w:hAnsi="Arial" w:cs="Arial"/>
          <w:sz w:val="22"/>
          <w:szCs w:val="22"/>
        </w:rPr>
        <w:t xml:space="preserve">remium in the first one to two years.  This will affect the level of savings available to early borrowers.  </w:t>
      </w:r>
      <w:r w:rsidR="001D2DC9">
        <w:rPr>
          <w:rFonts w:ascii="Arial" w:hAnsi="Arial" w:cs="Arial"/>
          <w:sz w:val="22"/>
          <w:szCs w:val="22"/>
        </w:rPr>
        <w:t>The savings in the previous paragraph will also depend on being able to</w:t>
      </w:r>
      <w:r w:rsidR="00C249FF" w:rsidRPr="003742D8">
        <w:rPr>
          <w:rFonts w:ascii="Arial" w:hAnsi="Arial" w:cs="Arial"/>
          <w:sz w:val="22"/>
          <w:szCs w:val="22"/>
        </w:rPr>
        <w:t xml:space="preserve"> issue </w:t>
      </w:r>
      <w:r w:rsidR="00C17BBB" w:rsidRPr="003742D8">
        <w:rPr>
          <w:rFonts w:ascii="Arial" w:hAnsi="Arial" w:cs="Arial"/>
          <w:sz w:val="22"/>
          <w:szCs w:val="22"/>
        </w:rPr>
        <w:t xml:space="preserve">bonds in benchmark sizes of </w:t>
      </w:r>
      <w:r w:rsidR="00BA7AE1">
        <w:rPr>
          <w:rFonts w:ascii="Arial" w:hAnsi="Arial" w:cs="Arial"/>
          <w:sz w:val="22"/>
          <w:szCs w:val="22"/>
        </w:rPr>
        <w:t xml:space="preserve">between </w:t>
      </w:r>
      <w:r w:rsidR="00C17BBB" w:rsidRPr="003742D8">
        <w:rPr>
          <w:rFonts w:ascii="Arial" w:hAnsi="Arial" w:cs="Arial"/>
          <w:sz w:val="22"/>
          <w:szCs w:val="22"/>
        </w:rPr>
        <w:t>£250 million to £300 million</w:t>
      </w:r>
      <w:r w:rsidR="001D2DC9">
        <w:rPr>
          <w:rFonts w:ascii="Arial" w:hAnsi="Arial" w:cs="Arial"/>
          <w:sz w:val="22"/>
          <w:szCs w:val="22"/>
        </w:rPr>
        <w:t>; otherwise investors will demand a premium for illiquidity</w:t>
      </w:r>
      <w:r w:rsidR="00C17BBB" w:rsidRPr="003742D8">
        <w:rPr>
          <w:rFonts w:ascii="Arial" w:hAnsi="Arial" w:cs="Arial"/>
          <w:sz w:val="22"/>
          <w:szCs w:val="22"/>
        </w:rPr>
        <w:t>.</w:t>
      </w:r>
    </w:p>
    <w:p w14:paraId="599F533A" w14:textId="77777777" w:rsidR="00C17BBB" w:rsidRPr="003742D8" w:rsidRDefault="00C17BBB" w:rsidP="00C17BBB">
      <w:pPr>
        <w:pStyle w:val="ListParagraph"/>
        <w:rPr>
          <w:rFonts w:ascii="Arial" w:hAnsi="Arial" w:cs="Arial"/>
          <w:sz w:val="22"/>
          <w:szCs w:val="22"/>
        </w:rPr>
      </w:pPr>
    </w:p>
    <w:p w14:paraId="2C0CE589" w14:textId="77777777" w:rsidR="004A738F" w:rsidRDefault="004A738F" w:rsidP="00C17BBB">
      <w:pPr>
        <w:pStyle w:val="ListParagraph"/>
        <w:ind w:left="0"/>
        <w:rPr>
          <w:rFonts w:ascii="Arial" w:hAnsi="Arial" w:cs="Arial"/>
          <w:b/>
          <w:sz w:val="22"/>
          <w:szCs w:val="22"/>
        </w:rPr>
      </w:pPr>
    </w:p>
    <w:p w14:paraId="05CE81E7" w14:textId="77777777" w:rsidR="004A738F" w:rsidRDefault="004A738F" w:rsidP="00C17BBB">
      <w:pPr>
        <w:pStyle w:val="ListParagraph"/>
        <w:ind w:left="0"/>
        <w:rPr>
          <w:rFonts w:ascii="Arial" w:hAnsi="Arial" w:cs="Arial"/>
          <w:b/>
          <w:sz w:val="22"/>
          <w:szCs w:val="22"/>
        </w:rPr>
      </w:pPr>
    </w:p>
    <w:p w14:paraId="5E5A392F" w14:textId="77777777" w:rsidR="004A738F" w:rsidRDefault="004A738F" w:rsidP="00C17BBB">
      <w:pPr>
        <w:pStyle w:val="ListParagraph"/>
        <w:ind w:left="0"/>
        <w:rPr>
          <w:rFonts w:ascii="Arial" w:hAnsi="Arial" w:cs="Arial"/>
          <w:b/>
          <w:sz w:val="22"/>
          <w:szCs w:val="22"/>
        </w:rPr>
      </w:pPr>
    </w:p>
    <w:p w14:paraId="187648B4" w14:textId="77777777" w:rsidR="004A738F" w:rsidRDefault="004A738F" w:rsidP="00C17BBB">
      <w:pPr>
        <w:pStyle w:val="ListParagraph"/>
        <w:ind w:left="0"/>
        <w:rPr>
          <w:rFonts w:ascii="Arial" w:hAnsi="Arial" w:cs="Arial"/>
          <w:b/>
          <w:sz w:val="22"/>
          <w:szCs w:val="22"/>
        </w:rPr>
      </w:pPr>
    </w:p>
    <w:p w14:paraId="599F533B" w14:textId="77777777" w:rsidR="00C17BBB" w:rsidRDefault="00C17BBB" w:rsidP="00C17BBB">
      <w:pPr>
        <w:pStyle w:val="ListParagraph"/>
        <w:ind w:left="0"/>
        <w:rPr>
          <w:rFonts w:ascii="Arial" w:hAnsi="Arial" w:cs="Arial"/>
          <w:b/>
          <w:sz w:val="22"/>
          <w:szCs w:val="22"/>
        </w:rPr>
      </w:pPr>
      <w:r w:rsidRPr="003742D8">
        <w:rPr>
          <w:rFonts w:ascii="Arial" w:hAnsi="Arial" w:cs="Arial"/>
          <w:b/>
          <w:sz w:val="22"/>
          <w:szCs w:val="22"/>
        </w:rPr>
        <w:lastRenderedPageBreak/>
        <w:t xml:space="preserve">Joint and several </w:t>
      </w:r>
      <w:proofErr w:type="gramStart"/>
      <w:r w:rsidRPr="003742D8">
        <w:rPr>
          <w:rFonts w:ascii="Arial" w:hAnsi="Arial" w:cs="Arial"/>
          <w:b/>
          <w:sz w:val="22"/>
          <w:szCs w:val="22"/>
        </w:rPr>
        <w:t>guarantee</w:t>
      </w:r>
      <w:proofErr w:type="gramEnd"/>
    </w:p>
    <w:p w14:paraId="599F533C" w14:textId="77777777" w:rsidR="001D2DC9" w:rsidRPr="003742D8" w:rsidRDefault="001D2DC9" w:rsidP="00C17BBB">
      <w:pPr>
        <w:pStyle w:val="ListParagraph"/>
        <w:ind w:left="0"/>
        <w:rPr>
          <w:rFonts w:ascii="Arial" w:hAnsi="Arial" w:cs="Arial"/>
          <w:sz w:val="22"/>
          <w:szCs w:val="22"/>
        </w:rPr>
      </w:pPr>
    </w:p>
    <w:p w14:paraId="599F533D" w14:textId="77777777" w:rsidR="008D09D2" w:rsidRDefault="001D2DC9" w:rsidP="007A2F0D">
      <w:pPr>
        <w:pStyle w:val="ListParagraph"/>
        <w:numPr>
          <w:ilvl w:val="0"/>
          <w:numId w:val="1"/>
        </w:numPr>
        <w:rPr>
          <w:rFonts w:ascii="Arial" w:hAnsi="Arial" w:cs="Arial"/>
          <w:sz w:val="22"/>
          <w:szCs w:val="22"/>
        </w:rPr>
      </w:pPr>
      <w:r w:rsidRPr="001D2DC9">
        <w:rPr>
          <w:rFonts w:ascii="Arial" w:hAnsi="Arial" w:cs="Arial"/>
          <w:sz w:val="22"/>
          <w:szCs w:val="22"/>
        </w:rPr>
        <w:t xml:space="preserve">A </w:t>
      </w:r>
      <w:r w:rsidR="00C17BBB" w:rsidRPr="001D2DC9">
        <w:rPr>
          <w:rFonts w:ascii="Arial" w:hAnsi="Arial" w:cs="Arial"/>
          <w:sz w:val="22"/>
          <w:szCs w:val="22"/>
        </w:rPr>
        <w:t>joint and several guarantee</w:t>
      </w:r>
      <w:r w:rsidR="00257543" w:rsidRPr="001D2DC9">
        <w:rPr>
          <w:rFonts w:ascii="Arial" w:hAnsi="Arial" w:cs="Arial"/>
          <w:sz w:val="22"/>
          <w:szCs w:val="22"/>
        </w:rPr>
        <w:t xml:space="preserve"> </w:t>
      </w:r>
      <w:r w:rsidRPr="001D2DC9">
        <w:rPr>
          <w:rFonts w:ascii="Arial" w:hAnsi="Arial" w:cs="Arial"/>
          <w:sz w:val="22"/>
          <w:szCs w:val="22"/>
        </w:rPr>
        <w:t xml:space="preserve">creates the prospect of much cheaper borrowing. It will also </w:t>
      </w:r>
      <w:r w:rsidR="00C17BBB" w:rsidRPr="001D2DC9">
        <w:rPr>
          <w:rFonts w:ascii="Arial" w:hAnsi="Arial" w:cs="Arial"/>
          <w:sz w:val="22"/>
          <w:szCs w:val="22"/>
        </w:rPr>
        <w:t>enabl</w:t>
      </w:r>
      <w:r w:rsidR="00257543" w:rsidRPr="001D2DC9">
        <w:rPr>
          <w:rFonts w:ascii="Arial" w:hAnsi="Arial" w:cs="Arial"/>
          <w:sz w:val="22"/>
          <w:szCs w:val="22"/>
        </w:rPr>
        <w:t>e the</w:t>
      </w:r>
      <w:r w:rsidR="00C17BBB" w:rsidRPr="001D2DC9">
        <w:rPr>
          <w:rFonts w:ascii="Arial" w:hAnsi="Arial" w:cs="Arial"/>
          <w:sz w:val="22"/>
          <w:szCs w:val="22"/>
        </w:rPr>
        <w:t xml:space="preserve"> </w:t>
      </w:r>
      <w:r w:rsidR="00FB1F7A" w:rsidRPr="001D2DC9">
        <w:rPr>
          <w:rFonts w:ascii="Arial" w:hAnsi="Arial" w:cs="Arial"/>
          <w:sz w:val="22"/>
          <w:szCs w:val="22"/>
        </w:rPr>
        <w:t>bonds</w:t>
      </w:r>
      <w:r w:rsidR="00C17BBB" w:rsidRPr="001D2DC9">
        <w:rPr>
          <w:rFonts w:ascii="Arial" w:hAnsi="Arial" w:cs="Arial"/>
          <w:sz w:val="22"/>
          <w:szCs w:val="22"/>
        </w:rPr>
        <w:t xml:space="preserve"> to be listed on the London Stock Exchange.  Overall a joint and several gua</w:t>
      </w:r>
      <w:r w:rsidRPr="001D2DC9">
        <w:rPr>
          <w:rFonts w:ascii="Arial" w:hAnsi="Arial" w:cs="Arial"/>
          <w:sz w:val="22"/>
          <w:szCs w:val="22"/>
        </w:rPr>
        <w:t xml:space="preserve">rantee could expect to reduce the Agency’s </w:t>
      </w:r>
      <w:r w:rsidR="00C17BBB" w:rsidRPr="001D2DC9">
        <w:rPr>
          <w:rFonts w:ascii="Arial" w:hAnsi="Arial" w:cs="Arial"/>
          <w:sz w:val="22"/>
          <w:szCs w:val="22"/>
        </w:rPr>
        <w:t xml:space="preserve">borrowing costs by 20 to 25 </w:t>
      </w:r>
      <w:r w:rsidR="00FB1F7A" w:rsidRPr="001D2DC9">
        <w:rPr>
          <w:rFonts w:ascii="Arial" w:hAnsi="Arial" w:cs="Arial"/>
          <w:sz w:val="22"/>
          <w:szCs w:val="22"/>
        </w:rPr>
        <w:t>bps</w:t>
      </w:r>
      <w:r w:rsidR="00C17BBB" w:rsidRPr="001D2DC9">
        <w:rPr>
          <w:rFonts w:ascii="Arial" w:hAnsi="Arial" w:cs="Arial"/>
          <w:sz w:val="22"/>
          <w:szCs w:val="22"/>
        </w:rPr>
        <w:t>, saving £6.2 million to £7.</w:t>
      </w:r>
      <w:r w:rsidR="008B5F5E">
        <w:rPr>
          <w:rFonts w:ascii="Arial" w:hAnsi="Arial" w:cs="Arial"/>
          <w:sz w:val="22"/>
          <w:szCs w:val="22"/>
        </w:rPr>
        <w:t>5</w:t>
      </w:r>
      <w:r w:rsidRPr="001D2DC9">
        <w:rPr>
          <w:rFonts w:ascii="Arial" w:hAnsi="Arial" w:cs="Arial"/>
          <w:sz w:val="22"/>
          <w:szCs w:val="22"/>
        </w:rPr>
        <w:t xml:space="preserve"> </w:t>
      </w:r>
      <w:r w:rsidR="00C17BBB" w:rsidRPr="001D2DC9">
        <w:rPr>
          <w:rFonts w:ascii="Arial" w:hAnsi="Arial" w:cs="Arial"/>
          <w:sz w:val="22"/>
          <w:szCs w:val="22"/>
        </w:rPr>
        <w:t>million over the life of a 30 year £100million loan.</w:t>
      </w:r>
      <w:r w:rsidRPr="001D2DC9">
        <w:rPr>
          <w:rFonts w:ascii="Arial" w:hAnsi="Arial" w:cs="Arial"/>
          <w:sz w:val="22"/>
          <w:szCs w:val="22"/>
        </w:rPr>
        <w:t xml:space="preserve"> The risks of offering a joint and several guarantee are mitigated by</w:t>
      </w:r>
      <w:r w:rsidR="008D09D2" w:rsidRPr="001D2DC9">
        <w:rPr>
          <w:rFonts w:ascii="Arial" w:hAnsi="Arial" w:cs="Arial"/>
          <w:sz w:val="22"/>
          <w:szCs w:val="22"/>
        </w:rPr>
        <w:t>:</w:t>
      </w:r>
    </w:p>
    <w:p w14:paraId="599F533E" w14:textId="77777777" w:rsidR="001D2DC9" w:rsidRPr="001D2DC9" w:rsidRDefault="001D2DC9" w:rsidP="00C2185E">
      <w:pPr>
        <w:pStyle w:val="ListParagraph"/>
        <w:ind w:left="360"/>
        <w:rPr>
          <w:rFonts w:ascii="Arial" w:hAnsi="Arial" w:cs="Arial"/>
          <w:sz w:val="22"/>
          <w:szCs w:val="22"/>
        </w:rPr>
      </w:pPr>
    </w:p>
    <w:p w14:paraId="599F533F" w14:textId="77777777" w:rsidR="008D09D2" w:rsidRDefault="008D09D2" w:rsidP="008D09D2">
      <w:pPr>
        <w:pStyle w:val="ListParagraph"/>
        <w:numPr>
          <w:ilvl w:val="0"/>
          <w:numId w:val="3"/>
        </w:numPr>
        <w:rPr>
          <w:rFonts w:ascii="Arial" w:hAnsi="Arial" w:cs="Arial"/>
          <w:sz w:val="22"/>
          <w:szCs w:val="22"/>
        </w:rPr>
      </w:pPr>
      <w:r>
        <w:rPr>
          <w:rFonts w:ascii="Arial" w:hAnsi="Arial" w:cs="Arial"/>
          <w:sz w:val="22"/>
          <w:szCs w:val="22"/>
        </w:rPr>
        <w:t>Security over borrowing and the High court process</w:t>
      </w:r>
    </w:p>
    <w:p w14:paraId="599F5340" w14:textId="77777777" w:rsidR="001D2DC9" w:rsidRDefault="008D09D2" w:rsidP="003742D8">
      <w:pPr>
        <w:pStyle w:val="ListParagraph"/>
        <w:numPr>
          <w:ilvl w:val="0"/>
          <w:numId w:val="2"/>
        </w:numPr>
        <w:rPr>
          <w:rFonts w:ascii="Arial" w:hAnsi="Arial" w:cs="Arial"/>
          <w:sz w:val="22"/>
          <w:szCs w:val="22"/>
        </w:rPr>
      </w:pPr>
      <w:r w:rsidRPr="001D2DC9">
        <w:rPr>
          <w:rFonts w:ascii="Arial" w:hAnsi="Arial" w:cs="Arial"/>
          <w:sz w:val="22"/>
          <w:szCs w:val="22"/>
        </w:rPr>
        <w:t>Proportionality/right of recourse</w:t>
      </w:r>
    </w:p>
    <w:p w14:paraId="599F5341" w14:textId="77777777" w:rsidR="003742D8" w:rsidRDefault="003742D8" w:rsidP="003742D8">
      <w:pPr>
        <w:pStyle w:val="ListParagraph"/>
        <w:numPr>
          <w:ilvl w:val="0"/>
          <w:numId w:val="2"/>
        </w:numPr>
        <w:rPr>
          <w:rFonts w:ascii="Arial" w:hAnsi="Arial" w:cs="Arial"/>
          <w:sz w:val="22"/>
          <w:szCs w:val="22"/>
        </w:rPr>
      </w:pPr>
      <w:r w:rsidRPr="001D2DC9">
        <w:rPr>
          <w:rFonts w:ascii="Arial" w:hAnsi="Arial" w:cs="Arial"/>
          <w:sz w:val="22"/>
          <w:szCs w:val="22"/>
        </w:rPr>
        <w:t>The risk capital</w:t>
      </w:r>
      <w:r w:rsidR="001D2DC9">
        <w:rPr>
          <w:rFonts w:ascii="Arial" w:hAnsi="Arial" w:cs="Arial"/>
          <w:sz w:val="22"/>
          <w:szCs w:val="22"/>
        </w:rPr>
        <w:t xml:space="preserve"> and</w:t>
      </w:r>
      <w:r w:rsidRPr="001D2DC9">
        <w:rPr>
          <w:rFonts w:ascii="Arial" w:hAnsi="Arial" w:cs="Arial"/>
          <w:sz w:val="22"/>
          <w:szCs w:val="22"/>
        </w:rPr>
        <w:t xml:space="preserve"> liquidity </w:t>
      </w:r>
      <w:r w:rsidR="001D2DC9">
        <w:rPr>
          <w:rFonts w:ascii="Arial" w:hAnsi="Arial" w:cs="Arial"/>
          <w:sz w:val="22"/>
          <w:szCs w:val="22"/>
        </w:rPr>
        <w:t xml:space="preserve">of </w:t>
      </w:r>
      <w:r w:rsidRPr="001D2DC9">
        <w:rPr>
          <w:rFonts w:ascii="Arial" w:hAnsi="Arial" w:cs="Arial"/>
          <w:sz w:val="22"/>
          <w:szCs w:val="22"/>
        </w:rPr>
        <w:t>the Agency</w:t>
      </w:r>
    </w:p>
    <w:p w14:paraId="599F5342" w14:textId="77777777" w:rsidR="001D2DC9" w:rsidRPr="001D2DC9" w:rsidRDefault="001D2DC9" w:rsidP="003742D8">
      <w:pPr>
        <w:pStyle w:val="ListParagraph"/>
        <w:numPr>
          <w:ilvl w:val="0"/>
          <w:numId w:val="2"/>
        </w:numPr>
        <w:rPr>
          <w:rFonts w:ascii="Arial" w:hAnsi="Arial" w:cs="Arial"/>
          <w:sz w:val="22"/>
          <w:szCs w:val="22"/>
        </w:rPr>
      </w:pPr>
      <w:r>
        <w:rPr>
          <w:rFonts w:ascii="Arial" w:hAnsi="Arial" w:cs="Arial"/>
          <w:sz w:val="22"/>
          <w:szCs w:val="22"/>
        </w:rPr>
        <w:t>The Agency’s credit processes</w:t>
      </w:r>
    </w:p>
    <w:p w14:paraId="599F5343" w14:textId="77777777" w:rsidR="003742D8" w:rsidRDefault="003742D8" w:rsidP="003742D8">
      <w:pPr>
        <w:pStyle w:val="ListParagraph"/>
        <w:numPr>
          <w:ilvl w:val="0"/>
          <w:numId w:val="2"/>
        </w:numPr>
        <w:rPr>
          <w:rFonts w:ascii="Arial" w:hAnsi="Arial" w:cs="Arial"/>
          <w:sz w:val="22"/>
          <w:szCs w:val="22"/>
        </w:rPr>
      </w:pPr>
      <w:r>
        <w:rPr>
          <w:rFonts w:ascii="Arial" w:hAnsi="Arial" w:cs="Arial"/>
          <w:sz w:val="22"/>
          <w:szCs w:val="22"/>
        </w:rPr>
        <w:t>Sta</w:t>
      </w:r>
      <w:r w:rsidR="001D2DC9">
        <w:rPr>
          <w:rFonts w:ascii="Arial" w:hAnsi="Arial" w:cs="Arial"/>
          <w:sz w:val="22"/>
          <w:szCs w:val="22"/>
        </w:rPr>
        <w:t>tutory and budgetary controls in</w:t>
      </w:r>
      <w:r>
        <w:rPr>
          <w:rFonts w:ascii="Arial" w:hAnsi="Arial" w:cs="Arial"/>
          <w:sz w:val="22"/>
          <w:szCs w:val="22"/>
        </w:rPr>
        <w:t xml:space="preserve"> council</w:t>
      </w:r>
      <w:r w:rsidR="001D2DC9">
        <w:rPr>
          <w:rFonts w:ascii="Arial" w:hAnsi="Arial" w:cs="Arial"/>
          <w:sz w:val="22"/>
          <w:szCs w:val="22"/>
        </w:rPr>
        <w:t>s</w:t>
      </w:r>
    </w:p>
    <w:p w14:paraId="599F5344" w14:textId="77777777" w:rsidR="003742D8" w:rsidRDefault="003742D8" w:rsidP="003742D8">
      <w:pPr>
        <w:pStyle w:val="ListParagraph"/>
        <w:numPr>
          <w:ilvl w:val="0"/>
          <w:numId w:val="2"/>
        </w:numPr>
        <w:rPr>
          <w:rFonts w:ascii="Arial" w:hAnsi="Arial" w:cs="Arial"/>
          <w:sz w:val="22"/>
          <w:szCs w:val="22"/>
        </w:rPr>
      </w:pPr>
      <w:r>
        <w:rPr>
          <w:rFonts w:ascii="Arial" w:hAnsi="Arial" w:cs="Arial"/>
          <w:sz w:val="22"/>
          <w:szCs w:val="22"/>
        </w:rPr>
        <w:t>The prudential code and minimum revenue provision</w:t>
      </w:r>
    </w:p>
    <w:p w14:paraId="599F5345" w14:textId="77777777" w:rsidR="003742D8" w:rsidRDefault="003742D8" w:rsidP="003742D8">
      <w:pPr>
        <w:pStyle w:val="ListParagraph"/>
        <w:numPr>
          <w:ilvl w:val="0"/>
          <w:numId w:val="2"/>
        </w:numPr>
        <w:rPr>
          <w:rFonts w:ascii="Arial" w:hAnsi="Arial" w:cs="Arial"/>
          <w:sz w:val="22"/>
          <w:szCs w:val="22"/>
        </w:rPr>
      </w:pPr>
      <w:r>
        <w:rPr>
          <w:rFonts w:ascii="Arial" w:hAnsi="Arial" w:cs="Arial"/>
          <w:sz w:val="22"/>
          <w:szCs w:val="22"/>
        </w:rPr>
        <w:t>The statutory responsibilities of Finance Directors (section 151 officers)</w:t>
      </w:r>
    </w:p>
    <w:p w14:paraId="599F5346" w14:textId="77777777" w:rsidR="003742D8" w:rsidRDefault="003742D8" w:rsidP="003742D8">
      <w:pPr>
        <w:pStyle w:val="ListParagraph"/>
        <w:numPr>
          <w:ilvl w:val="0"/>
          <w:numId w:val="2"/>
        </w:numPr>
        <w:rPr>
          <w:rFonts w:ascii="Arial" w:hAnsi="Arial" w:cs="Arial"/>
          <w:sz w:val="22"/>
          <w:szCs w:val="22"/>
        </w:rPr>
      </w:pPr>
      <w:r>
        <w:rPr>
          <w:rFonts w:ascii="Arial" w:hAnsi="Arial" w:cs="Arial"/>
          <w:sz w:val="22"/>
          <w:szCs w:val="22"/>
        </w:rPr>
        <w:t>Access to the PWLB</w:t>
      </w:r>
    </w:p>
    <w:p w14:paraId="599F5347" w14:textId="77777777" w:rsidR="003742D8" w:rsidRPr="003742D8" w:rsidRDefault="003742D8" w:rsidP="003742D8">
      <w:pPr>
        <w:pStyle w:val="ListParagraph"/>
        <w:numPr>
          <w:ilvl w:val="0"/>
          <w:numId w:val="2"/>
        </w:numPr>
        <w:rPr>
          <w:rFonts w:ascii="Arial" w:hAnsi="Arial" w:cs="Arial"/>
          <w:sz w:val="22"/>
          <w:szCs w:val="22"/>
        </w:rPr>
      </w:pPr>
      <w:r>
        <w:rPr>
          <w:rFonts w:ascii="Arial" w:hAnsi="Arial" w:cs="Arial"/>
          <w:sz w:val="22"/>
          <w:szCs w:val="22"/>
        </w:rPr>
        <w:t>Government reserve powers</w:t>
      </w:r>
      <w:r w:rsidR="001D2DC9">
        <w:rPr>
          <w:rFonts w:ascii="Arial" w:hAnsi="Arial" w:cs="Arial"/>
          <w:sz w:val="22"/>
          <w:szCs w:val="22"/>
        </w:rPr>
        <w:t>.</w:t>
      </w:r>
    </w:p>
    <w:p w14:paraId="599F5348" w14:textId="77777777" w:rsidR="009D2D6D" w:rsidRDefault="009D2D6D" w:rsidP="008D09D2">
      <w:pPr>
        <w:pStyle w:val="ListParagraph"/>
        <w:ind w:left="0"/>
        <w:rPr>
          <w:rFonts w:ascii="Arial" w:hAnsi="Arial" w:cs="Arial"/>
          <w:b/>
          <w:sz w:val="22"/>
          <w:szCs w:val="22"/>
        </w:rPr>
      </w:pPr>
    </w:p>
    <w:p w14:paraId="599F5349" w14:textId="77777777" w:rsidR="008D09D2" w:rsidRDefault="008D09D2" w:rsidP="008D09D2">
      <w:pPr>
        <w:pStyle w:val="ListParagraph"/>
        <w:ind w:left="0"/>
        <w:rPr>
          <w:rFonts w:ascii="Arial" w:hAnsi="Arial" w:cs="Arial"/>
          <w:b/>
          <w:sz w:val="22"/>
          <w:szCs w:val="22"/>
        </w:rPr>
      </w:pPr>
      <w:r>
        <w:rPr>
          <w:rFonts w:ascii="Arial" w:hAnsi="Arial" w:cs="Arial"/>
          <w:b/>
          <w:sz w:val="22"/>
          <w:szCs w:val="22"/>
        </w:rPr>
        <w:t>Operating model</w:t>
      </w:r>
      <w:r w:rsidR="001D2DC9">
        <w:rPr>
          <w:rFonts w:ascii="Arial" w:hAnsi="Arial" w:cs="Arial"/>
          <w:b/>
          <w:sz w:val="22"/>
          <w:szCs w:val="22"/>
        </w:rPr>
        <w:t xml:space="preserve"> and capital </w:t>
      </w:r>
      <w:r w:rsidR="008B5F5E">
        <w:rPr>
          <w:rFonts w:ascii="Arial" w:hAnsi="Arial" w:cs="Arial"/>
          <w:b/>
          <w:sz w:val="22"/>
          <w:szCs w:val="22"/>
        </w:rPr>
        <w:t>structure</w:t>
      </w:r>
    </w:p>
    <w:p w14:paraId="599F534A" w14:textId="77777777" w:rsidR="001D2DC9" w:rsidRPr="008D09D2" w:rsidRDefault="001D2DC9" w:rsidP="008D09D2">
      <w:pPr>
        <w:pStyle w:val="ListParagraph"/>
        <w:ind w:left="0"/>
        <w:rPr>
          <w:rFonts w:ascii="Arial" w:hAnsi="Arial" w:cs="Arial"/>
          <w:b/>
          <w:sz w:val="22"/>
          <w:szCs w:val="22"/>
        </w:rPr>
      </w:pPr>
    </w:p>
    <w:p w14:paraId="599F534B" w14:textId="77777777" w:rsidR="00257543" w:rsidRDefault="00257543" w:rsidP="00257543">
      <w:pPr>
        <w:pStyle w:val="ListParagraph"/>
        <w:numPr>
          <w:ilvl w:val="0"/>
          <w:numId w:val="1"/>
        </w:numPr>
        <w:rPr>
          <w:rFonts w:ascii="Arial" w:hAnsi="Arial" w:cs="Arial"/>
          <w:sz w:val="22"/>
          <w:szCs w:val="22"/>
        </w:rPr>
      </w:pPr>
      <w:r w:rsidRPr="00451F58">
        <w:rPr>
          <w:rFonts w:ascii="Arial" w:hAnsi="Arial" w:cs="Arial"/>
          <w:sz w:val="22"/>
          <w:szCs w:val="22"/>
        </w:rPr>
        <w:t>T</w:t>
      </w:r>
      <w:r w:rsidR="009D79ED" w:rsidRPr="00451F58">
        <w:rPr>
          <w:rFonts w:ascii="Arial" w:hAnsi="Arial" w:cs="Arial"/>
          <w:sz w:val="22"/>
          <w:szCs w:val="22"/>
        </w:rPr>
        <w:t xml:space="preserve">he Agency </w:t>
      </w:r>
      <w:r w:rsidR="001D2DC9">
        <w:rPr>
          <w:rFonts w:ascii="Arial" w:hAnsi="Arial" w:cs="Arial"/>
          <w:sz w:val="22"/>
          <w:szCs w:val="22"/>
        </w:rPr>
        <w:t xml:space="preserve">should issue </w:t>
      </w:r>
      <w:r w:rsidR="009D79ED" w:rsidRPr="00451F58">
        <w:rPr>
          <w:rFonts w:ascii="Arial" w:hAnsi="Arial" w:cs="Arial"/>
          <w:sz w:val="22"/>
          <w:szCs w:val="22"/>
        </w:rPr>
        <w:t xml:space="preserve">two bonds in </w:t>
      </w:r>
      <w:r w:rsidR="001D2DC9">
        <w:rPr>
          <w:rFonts w:ascii="Arial" w:hAnsi="Arial" w:cs="Arial"/>
          <w:sz w:val="22"/>
          <w:szCs w:val="22"/>
        </w:rPr>
        <w:t xml:space="preserve">its first </w:t>
      </w:r>
      <w:r w:rsidR="009D79ED" w:rsidRPr="00451F58">
        <w:rPr>
          <w:rFonts w:ascii="Arial" w:hAnsi="Arial" w:cs="Arial"/>
          <w:sz w:val="22"/>
          <w:szCs w:val="22"/>
        </w:rPr>
        <w:t xml:space="preserve">year </w:t>
      </w:r>
      <w:r w:rsidR="001D2DC9">
        <w:rPr>
          <w:rFonts w:ascii="Arial" w:hAnsi="Arial" w:cs="Arial"/>
          <w:sz w:val="22"/>
          <w:szCs w:val="22"/>
        </w:rPr>
        <w:t>w</w:t>
      </w:r>
      <w:r w:rsidR="009D79ED" w:rsidRPr="00451F58">
        <w:rPr>
          <w:rFonts w:ascii="Arial" w:hAnsi="Arial" w:cs="Arial"/>
          <w:sz w:val="22"/>
          <w:szCs w:val="22"/>
        </w:rPr>
        <w:t>ith approximately 30 to 40 borrowers</w:t>
      </w:r>
      <w:r w:rsidR="001D2DC9">
        <w:rPr>
          <w:rFonts w:ascii="Arial" w:hAnsi="Arial" w:cs="Arial"/>
          <w:sz w:val="22"/>
          <w:szCs w:val="22"/>
        </w:rPr>
        <w:t xml:space="preserve">. For the initial issues, </w:t>
      </w:r>
      <w:r w:rsidR="009D79ED" w:rsidRPr="00451F58">
        <w:rPr>
          <w:rFonts w:ascii="Arial" w:hAnsi="Arial" w:cs="Arial"/>
          <w:sz w:val="22"/>
          <w:szCs w:val="22"/>
        </w:rPr>
        <w:t xml:space="preserve">council borrowing </w:t>
      </w:r>
      <w:r w:rsidR="001D2DC9">
        <w:rPr>
          <w:rFonts w:ascii="Arial" w:hAnsi="Arial" w:cs="Arial"/>
          <w:sz w:val="22"/>
          <w:szCs w:val="22"/>
        </w:rPr>
        <w:t xml:space="preserve">will need to </w:t>
      </w:r>
      <w:r w:rsidR="009D79ED" w:rsidRPr="00451F58">
        <w:rPr>
          <w:rFonts w:ascii="Arial" w:hAnsi="Arial" w:cs="Arial"/>
          <w:sz w:val="22"/>
          <w:szCs w:val="22"/>
        </w:rPr>
        <w:t>match</w:t>
      </w:r>
      <w:r w:rsidR="001D2DC9">
        <w:rPr>
          <w:rFonts w:ascii="Arial" w:hAnsi="Arial" w:cs="Arial"/>
          <w:sz w:val="22"/>
          <w:szCs w:val="22"/>
        </w:rPr>
        <w:t xml:space="preserve"> the</w:t>
      </w:r>
      <w:r w:rsidR="009D79ED" w:rsidRPr="00451F58">
        <w:rPr>
          <w:rFonts w:ascii="Arial" w:hAnsi="Arial" w:cs="Arial"/>
          <w:sz w:val="22"/>
          <w:szCs w:val="22"/>
        </w:rPr>
        <w:t xml:space="preserve"> bond</w:t>
      </w:r>
      <w:r w:rsidR="001D2DC9">
        <w:rPr>
          <w:rFonts w:ascii="Arial" w:hAnsi="Arial" w:cs="Arial"/>
          <w:sz w:val="22"/>
          <w:szCs w:val="22"/>
        </w:rPr>
        <w:t>s’</w:t>
      </w:r>
      <w:r w:rsidR="009D79ED" w:rsidRPr="00451F58">
        <w:rPr>
          <w:rFonts w:ascii="Arial" w:hAnsi="Arial" w:cs="Arial"/>
          <w:sz w:val="22"/>
          <w:szCs w:val="22"/>
        </w:rPr>
        <w:t xml:space="preserve"> maturity profiles.  Agency staffing will </w:t>
      </w:r>
      <w:r w:rsidR="001D2DC9">
        <w:rPr>
          <w:rFonts w:ascii="Arial" w:hAnsi="Arial" w:cs="Arial"/>
          <w:sz w:val="22"/>
          <w:szCs w:val="22"/>
        </w:rPr>
        <w:t>start small and grow as t</w:t>
      </w:r>
      <w:r w:rsidR="009D79ED" w:rsidRPr="00451F58">
        <w:rPr>
          <w:rFonts w:ascii="Arial" w:hAnsi="Arial" w:cs="Arial"/>
          <w:sz w:val="22"/>
          <w:szCs w:val="22"/>
        </w:rPr>
        <w:t>he volume of transactions</w:t>
      </w:r>
      <w:r w:rsidR="001D2DC9">
        <w:rPr>
          <w:rFonts w:ascii="Arial" w:hAnsi="Arial" w:cs="Arial"/>
          <w:sz w:val="22"/>
          <w:szCs w:val="22"/>
        </w:rPr>
        <w:t xml:space="preserve"> does</w:t>
      </w:r>
      <w:r w:rsidR="009D79ED" w:rsidRPr="00451F58">
        <w:rPr>
          <w:rFonts w:ascii="Arial" w:hAnsi="Arial" w:cs="Arial"/>
          <w:sz w:val="22"/>
          <w:szCs w:val="22"/>
        </w:rPr>
        <w:t xml:space="preserve">. </w:t>
      </w:r>
      <w:r w:rsidR="001D2DC9">
        <w:rPr>
          <w:rFonts w:ascii="Arial" w:hAnsi="Arial" w:cs="Arial"/>
          <w:sz w:val="22"/>
          <w:szCs w:val="22"/>
        </w:rPr>
        <w:t>Most functions will be outsourced.</w:t>
      </w:r>
      <w:r w:rsidR="009D79ED" w:rsidRPr="00451F58">
        <w:rPr>
          <w:rFonts w:ascii="Arial" w:hAnsi="Arial" w:cs="Arial"/>
          <w:sz w:val="22"/>
          <w:szCs w:val="22"/>
        </w:rPr>
        <w:t xml:space="preserve"> </w:t>
      </w:r>
      <w:r w:rsidRPr="00451F58">
        <w:rPr>
          <w:rFonts w:ascii="Arial" w:hAnsi="Arial" w:cs="Arial"/>
          <w:sz w:val="22"/>
          <w:szCs w:val="22"/>
        </w:rPr>
        <w:t>T</w:t>
      </w:r>
      <w:r w:rsidR="009D79ED" w:rsidRPr="00451F58">
        <w:rPr>
          <w:rFonts w:ascii="Arial" w:hAnsi="Arial" w:cs="Arial"/>
          <w:sz w:val="22"/>
          <w:szCs w:val="22"/>
        </w:rPr>
        <w:t>he Agency</w:t>
      </w:r>
      <w:r w:rsidRPr="00451F58">
        <w:rPr>
          <w:rFonts w:ascii="Arial" w:hAnsi="Arial" w:cs="Arial"/>
          <w:sz w:val="22"/>
          <w:szCs w:val="22"/>
        </w:rPr>
        <w:t xml:space="preserve"> is expected to</w:t>
      </w:r>
      <w:r w:rsidR="009D79ED" w:rsidRPr="00451F58">
        <w:rPr>
          <w:rFonts w:ascii="Arial" w:hAnsi="Arial" w:cs="Arial"/>
          <w:sz w:val="22"/>
          <w:szCs w:val="22"/>
        </w:rPr>
        <w:t xml:space="preserve"> break even </w:t>
      </w:r>
      <w:r w:rsidR="00C37A83" w:rsidRPr="00451F58">
        <w:rPr>
          <w:rFonts w:ascii="Arial" w:hAnsi="Arial" w:cs="Arial"/>
          <w:sz w:val="22"/>
          <w:szCs w:val="22"/>
        </w:rPr>
        <w:t xml:space="preserve">by year three </w:t>
      </w:r>
      <w:r w:rsidR="009D79ED" w:rsidRPr="00451F58">
        <w:rPr>
          <w:rFonts w:ascii="Arial" w:hAnsi="Arial" w:cs="Arial"/>
          <w:sz w:val="22"/>
          <w:szCs w:val="22"/>
        </w:rPr>
        <w:t xml:space="preserve">after around £2 billion of bond issuance.  </w:t>
      </w:r>
      <w:r w:rsidRPr="00451F58">
        <w:rPr>
          <w:rFonts w:ascii="Arial" w:hAnsi="Arial" w:cs="Arial"/>
          <w:sz w:val="22"/>
          <w:szCs w:val="22"/>
        </w:rPr>
        <w:t>It</w:t>
      </w:r>
      <w:r w:rsidR="00A575CF" w:rsidRPr="00451F58">
        <w:rPr>
          <w:rFonts w:ascii="Arial" w:hAnsi="Arial" w:cs="Arial"/>
          <w:sz w:val="22"/>
          <w:szCs w:val="22"/>
        </w:rPr>
        <w:t xml:space="preserve"> </w:t>
      </w:r>
      <w:r w:rsidR="000078E9" w:rsidRPr="00451F58">
        <w:rPr>
          <w:rFonts w:ascii="Arial" w:hAnsi="Arial" w:cs="Arial"/>
          <w:sz w:val="22"/>
          <w:szCs w:val="22"/>
        </w:rPr>
        <w:t xml:space="preserve">is estimated £8 million to £10 million of operating capital </w:t>
      </w:r>
      <w:r w:rsidR="00451F58" w:rsidRPr="00451F58">
        <w:rPr>
          <w:rFonts w:ascii="Arial" w:hAnsi="Arial" w:cs="Arial"/>
          <w:sz w:val="22"/>
          <w:szCs w:val="22"/>
        </w:rPr>
        <w:t xml:space="preserve">will be needed </w:t>
      </w:r>
      <w:r w:rsidR="000078E9" w:rsidRPr="00451F58">
        <w:rPr>
          <w:rFonts w:ascii="Arial" w:hAnsi="Arial" w:cs="Arial"/>
          <w:sz w:val="22"/>
          <w:szCs w:val="22"/>
        </w:rPr>
        <w:t>to cover launch and early operating costs</w:t>
      </w:r>
      <w:r w:rsidR="001D2DC9">
        <w:rPr>
          <w:rFonts w:ascii="Arial" w:hAnsi="Arial" w:cs="Arial"/>
          <w:sz w:val="22"/>
          <w:szCs w:val="22"/>
        </w:rPr>
        <w:t xml:space="preserve"> and provide a buffer against risks</w:t>
      </w:r>
      <w:r w:rsidR="00451F58" w:rsidRPr="00451F58">
        <w:rPr>
          <w:rFonts w:ascii="Arial" w:hAnsi="Arial" w:cs="Arial"/>
          <w:sz w:val="22"/>
          <w:szCs w:val="22"/>
        </w:rPr>
        <w:t>.</w:t>
      </w:r>
      <w:r w:rsidR="000078E9" w:rsidRPr="00451F58">
        <w:rPr>
          <w:rFonts w:ascii="Arial" w:hAnsi="Arial" w:cs="Arial"/>
          <w:sz w:val="22"/>
          <w:szCs w:val="22"/>
        </w:rPr>
        <w:t xml:space="preserve"> </w:t>
      </w:r>
    </w:p>
    <w:p w14:paraId="599F534C" w14:textId="77777777" w:rsidR="00451F58" w:rsidRPr="00451F58" w:rsidRDefault="00451F58" w:rsidP="00451F58">
      <w:pPr>
        <w:rPr>
          <w:rFonts w:ascii="Arial" w:hAnsi="Arial" w:cs="Arial"/>
          <w:sz w:val="22"/>
          <w:szCs w:val="22"/>
        </w:rPr>
      </w:pPr>
    </w:p>
    <w:p w14:paraId="599F534D" w14:textId="77777777" w:rsidR="001D2DC9" w:rsidRDefault="001D2DC9" w:rsidP="001D2DC9">
      <w:pPr>
        <w:pStyle w:val="ListParagraph"/>
        <w:numPr>
          <w:ilvl w:val="0"/>
          <w:numId w:val="1"/>
        </w:numPr>
        <w:rPr>
          <w:rFonts w:ascii="Arial" w:hAnsi="Arial" w:cs="Arial"/>
          <w:sz w:val="22"/>
          <w:szCs w:val="22"/>
        </w:rPr>
      </w:pPr>
      <w:r w:rsidRPr="001D2DC9">
        <w:rPr>
          <w:rFonts w:ascii="Arial" w:hAnsi="Arial" w:cs="Arial"/>
          <w:sz w:val="22"/>
          <w:szCs w:val="22"/>
        </w:rPr>
        <w:t>The Agency’s o</w:t>
      </w:r>
      <w:r w:rsidR="00151131" w:rsidRPr="001D2DC9">
        <w:rPr>
          <w:rFonts w:ascii="Arial" w:hAnsi="Arial" w:cs="Arial"/>
          <w:sz w:val="22"/>
          <w:szCs w:val="22"/>
        </w:rPr>
        <w:t xml:space="preserve">perating capital </w:t>
      </w:r>
      <w:r>
        <w:rPr>
          <w:rFonts w:ascii="Arial" w:hAnsi="Arial" w:cs="Arial"/>
          <w:sz w:val="22"/>
          <w:szCs w:val="22"/>
        </w:rPr>
        <w:t>should</w:t>
      </w:r>
      <w:r w:rsidR="00451F58" w:rsidRPr="001D2DC9">
        <w:rPr>
          <w:rFonts w:ascii="Arial" w:hAnsi="Arial" w:cs="Arial"/>
          <w:sz w:val="22"/>
          <w:szCs w:val="22"/>
        </w:rPr>
        <w:t xml:space="preserve"> be raised </w:t>
      </w:r>
      <w:r w:rsidR="00151131" w:rsidRPr="001D2DC9">
        <w:rPr>
          <w:rFonts w:ascii="Arial" w:hAnsi="Arial" w:cs="Arial"/>
          <w:sz w:val="22"/>
          <w:szCs w:val="22"/>
        </w:rPr>
        <w:t>from councils or related bodie</w:t>
      </w:r>
      <w:r>
        <w:rPr>
          <w:rFonts w:ascii="Arial" w:hAnsi="Arial" w:cs="Arial"/>
          <w:sz w:val="22"/>
          <w:szCs w:val="22"/>
        </w:rPr>
        <w:t xml:space="preserve">s as common equity.  An </w:t>
      </w:r>
      <w:r w:rsidR="00151131" w:rsidRPr="001D2DC9">
        <w:rPr>
          <w:rFonts w:ascii="Arial" w:hAnsi="Arial" w:cs="Arial"/>
          <w:sz w:val="22"/>
          <w:szCs w:val="22"/>
        </w:rPr>
        <w:t>equity structure would allow the trading of shares</w:t>
      </w:r>
      <w:r w:rsidR="00257543" w:rsidRPr="001D2DC9">
        <w:rPr>
          <w:rFonts w:ascii="Arial" w:hAnsi="Arial" w:cs="Arial"/>
          <w:sz w:val="22"/>
          <w:szCs w:val="22"/>
        </w:rPr>
        <w:t xml:space="preserve"> </w:t>
      </w:r>
      <w:r w:rsidR="00151131" w:rsidRPr="001D2DC9">
        <w:rPr>
          <w:rFonts w:ascii="Arial" w:hAnsi="Arial" w:cs="Arial"/>
          <w:sz w:val="22"/>
          <w:szCs w:val="22"/>
        </w:rPr>
        <w:t xml:space="preserve">and give the Agency a decision making framework </w:t>
      </w:r>
      <w:r w:rsidR="00451F58" w:rsidRPr="001D2DC9">
        <w:rPr>
          <w:rFonts w:ascii="Arial" w:hAnsi="Arial" w:cs="Arial"/>
          <w:sz w:val="22"/>
          <w:szCs w:val="22"/>
        </w:rPr>
        <w:t>over</w:t>
      </w:r>
      <w:r>
        <w:rPr>
          <w:rFonts w:ascii="Arial" w:hAnsi="Arial" w:cs="Arial"/>
          <w:sz w:val="22"/>
          <w:szCs w:val="22"/>
        </w:rPr>
        <w:t xml:space="preserve"> profit retention</w:t>
      </w:r>
      <w:r w:rsidR="00151131" w:rsidRPr="001D2DC9">
        <w:rPr>
          <w:rFonts w:ascii="Arial" w:hAnsi="Arial" w:cs="Arial"/>
          <w:sz w:val="22"/>
          <w:szCs w:val="22"/>
        </w:rPr>
        <w:t xml:space="preserve"> </w:t>
      </w:r>
      <w:r>
        <w:rPr>
          <w:rFonts w:ascii="Arial" w:hAnsi="Arial" w:cs="Arial"/>
          <w:sz w:val="22"/>
          <w:szCs w:val="22"/>
        </w:rPr>
        <w:t xml:space="preserve">and </w:t>
      </w:r>
      <w:r w:rsidR="00151131" w:rsidRPr="001D2DC9">
        <w:rPr>
          <w:rFonts w:ascii="Arial" w:hAnsi="Arial" w:cs="Arial"/>
          <w:sz w:val="22"/>
          <w:szCs w:val="22"/>
        </w:rPr>
        <w:t xml:space="preserve">dividends.  The shareholding structure </w:t>
      </w:r>
      <w:r w:rsidR="00451F58" w:rsidRPr="001D2DC9">
        <w:rPr>
          <w:rFonts w:ascii="Arial" w:hAnsi="Arial" w:cs="Arial"/>
          <w:sz w:val="22"/>
          <w:szCs w:val="22"/>
        </w:rPr>
        <w:t>w</w:t>
      </w:r>
      <w:r w:rsidR="00151131" w:rsidRPr="001D2DC9">
        <w:rPr>
          <w:rFonts w:ascii="Arial" w:hAnsi="Arial" w:cs="Arial"/>
          <w:sz w:val="22"/>
          <w:szCs w:val="22"/>
        </w:rPr>
        <w:t xml:space="preserve">ould have limits on individual level of control and give a fair return to initial shareholders for risk taking.  </w:t>
      </w:r>
      <w:r w:rsidR="00E804C6" w:rsidRPr="001D2DC9">
        <w:rPr>
          <w:rFonts w:ascii="Arial" w:hAnsi="Arial" w:cs="Arial"/>
          <w:sz w:val="22"/>
          <w:szCs w:val="22"/>
        </w:rPr>
        <w:t>V</w:t>
      </w:r>
      <w:r w:rsidR="00151131" w:rsidRPr="001D2DC9">
        <w:rPr>
          <w:rFonts w:ascii="Arial" w:hAnsi="Arial" w:cs="Arial"/>
          <w:sz w:val="22"/>
          <w:szCs w:val="22"/>
        </w:rPr>
        <w:t>oting and economic rights should be de-coupled.</w:t>
      </w:r>
    </w:p>
    <w:p w14:paraId="599F534E" w14:textId="77777777" w:rsidR="001D2DC9" w:rsidRPr="001D2DC9" w:rsidRDefault="001D2DC9" w:rsidP="001D2DC9">
      <w:pPr>
        <w:pStyle w:val="ListParagraph"/>
        <w:rPr>
          <w:rFonts w:ascii="Arial" w:hAnsi="Arial" w:cs="Arial"/>
          <w:sz w:val="22"/>
          <w:szCs w:val="22"/>
        </w:rPr>
      </w:pPr>
    </w:p>
    <w:p w14:paraId="599F534F" w14:textId="77777777" w:rsidR="00151131" w:rsidRPr="001D2DC9" w:rsidRDefault="004E74E6" w:rsidP="001D2DC9">
      <w:pPr>
        <w:pStyle w:val="ListParagraph"/>
        <w:numPr>
          <w:ilvl w:val="0"/>
          <w:numId w:val="1"/>
        </w:numPr>
        <w:rPr>
          <w:rFonts w:ascii="Arial" w:hAnsi="Arial" w:cs="Arial"/>
          <w:sz w:val="22"/>
          <w:szCs w:val="22"/>
        </w:rPr>
      </w:pPr>
      <w:r w:rsidRPr="001D2DC9">
        <w:rPr>
          <w:rFonts w:ascii="Arial" w:hAnsi="Arial" w:cs="Arial"/>
          <w:sz w:val="22"/>
          <w:szCs w:val="22"/>
        </w:rPr>
        <w:t>Risk Capital will be required to support the first loss protection in the event of a borrower default</w:t>
      </w:r>
      <w:r w:rsidR="001D6971" w:rsidRPr="001D2DC9">
        <w:rPr>
          <w:rFonts w:ascii="Arial" w:hAnsi="Arial" w:cs="Arial"/>
          <w:sz w:val="22"/>
          <w:szCs w:val="22"/>
        </w:rPr>
        <w:t xml:space="preserve"> and</w:t>
      </w:r>
      <w:r w:rsidR="001D2DC9">
        <w:rPr>
          <w:rFonts w:ascii="Arial" w:hAnsi="Arial" w:cs="Arial"/>
          <w:sz w:val="22"/>
          <w:szCs w:val="22"/>
        </w:rPr>
        <w:t xml:space="preserve"> should</w:t>
      </w:r>
      <w:r w:rsidRPr="001D2DC9">
        <w:rPr>
          <w:rFonts w:ascii="Arial" w:hAnsi="Arial" w:cs="Arial"/>
          <w:sz w:val="22"/>
          <w:szCs w:val="22"/>
        </w:rPr>
        <w:t xml:space="preserve"> be </w:t>
      </w:r>
      <w:r w:rsidR="00FB3F8F" w:rsidRPr="001D2DC9">
        <w:rPr>
          <w:rFonts w:ascii="Arial" w:hAnsi="Arial" w:cs="Arial"/>
          <w:sz w:val="22"/>
          <w:szCs w:val="22"/>
        </w:rPr>
        <w:t xml:space="preserve">equivalent to </w:t>
      </w:r>
      <w:r w:rsidRPr="001D2DC9">
        <w:rPr>
          <w:rFonts w:ascii="Arial" w:hAnsi="Arial" w:cs="Arial"/>
          <w:sz w:val="22"/>
          <w:szCs w:val="22"/>
        </w:rPr>
        <w:t xml:space="preserve">three to five per cent </w:t>
      </w:r>
      <w:r w:rsidR="00FB3F8F" w:rsidRPr="001D2DC9">
        <w:rPr>
          <w:rFonts w:ascii="Arial" w:hAnsi="Arial" w:cs="Arial"/>
          <w:sz w:val="22"/>
          <w:szCs w:val="22"/>
        </w:rPr>
        <w:t>of the loans made to councils</w:t>
      </w:r>
      <w:r w:rsidR="001D6971" w:rsidRPr="001D2DC9">
        <w:rPr>
          <w:rFonts w:ascii="Arial" w:hAnsi="Arial" w:cs="Arial"/>
          <w:sz w:val="22"/>
          <w:szCs w:val="22"/>
        </w:rPr>
        <w:t>.</w:t>
      </w:r>
      <w:r w:rsidR="00FB3F8F" w:rsidRPr="001D2DC9">
        <w:rPr>
          <w:rFonts w:ascii="Arial" w:hAnsi="Arial" w:cs="Arial"/>
          <w:sz w:val="22"/>
          <w:szCs w:val="22"/>
        </w:rPr>
        <w:t xml:space="preserve"> </w:t>
      </w:r>
      <w:r w:rsidR="001D6971" w:rsidRPr="001D2DC9">
        <w:rPr>
          <w:rFonts w:ascii="Arial" w:hAnsi="Arial" w:cs="Arial"/>
          <w:sz w:val="22"/>
          <w:szCs w:val="22"/>
        </w:rPr>
        <w:t>It</w:t>
      </w:r>
      <w:r w:rsidR="00FB3F8F" w:rsidRPr="001D2DC9">
        <w:rPr>
          <w:rFonts w:ascii="Arial" w:hAnsi="Arial" w:cs="Arial"/>
          <w:sz w:val="22"/>
          <w:szCs w:val="22"/>
        </w:rPr>
        <w:t xml:space="preserve"> will be raised through a proportion of a loan taken out by a borrower being retained by the Agency.</w:t>
      </w:r>
    </w:p>
    <w:p w14:paraId="599F5350" w14:textId="77777777" w:rsidR="00E61EB7" w:rsidRDefault="00E61EB7" w:rsidP="00E61EB7">
      <w:pPr>
        <w:pStyle w:val="ListParagraph"/>
        <w:ind w:left="709"/>
        <w:rPr>
          <w:rFonts w:ascii="Arial" w:hAnsi="Arial" w:cs="Arial"/>
          <w:sz w:val="22"/>
          <w:szCs w:val="22"/>
        </w:rPr>
      </w:pPr>
    </w:p>
    <w:p w14:paraId="599F5351" w14:textId="77777777" w:rsidR="001D2DC9" w:rsidRDefault="00E61EB7" w:rsidP="001D2DC9">
      <w:pPr>
        <w:pStyle w:val="ListParagraph"/>
        <w:ind w:left="0"/>
        <w:rPr>
          <w:rFonts w:ascii="Arial" w:hAnsi="Arial" w:cs="Arial"/>
          <w:b/>
          <w:sz w:val="22"/>
          <w:szCs w:val="22"/>
        </w:rPr>
      </w:pPr>
      <w:r>
        <w:rPr>
          <w:rFonts w:ascii="Arial" w:hAnsi="Arial" w:cs="Arial"/>
          <w:b/>
          <w:sz w:val="22"/>
          <w:szCs w:val="22"/>
        </w:rPr>
        <w:t>Timeline</w:t>
      </w:r>
    </w:p>
    <w:p w14:paraId="599F5352" w14:textId="77777777" w:rsidR="001D2DC9" w:rsidRDefault="001D2DC9" w:rsidP="001D2DC9">
      <w:pPr>
        <w:pStyle w:val="ListParagraph"/>
        <w:ind w:left="0"/>
        <w:rPr>
          <w:rFonts w:ascii="Arial" w:hAnsi="Arial" w:cs="Arial"/>
          <w:b/>
          <w:sz w:val="22"/>
          <w:szCs w:val="22"/>
        </w:rPr>
      </w:pPr>
    </w:p>
    <w:p w14:paraId="599F5353" w14:textId="77777777" w:rsidR="00CF3C8B" w:rsidRDefault="00FB1F7A" w:rsidP="00CF3C8B">
      <w:pPr>
        <w:pStyle w:val="ListParagraph"/>
        <w:numPr>
          <w:ilvl w:val="0"/>
          <w:numId w:val="1"/>
        </w:numPr>
        <w:rPr>
          <w:rFonts w:ascii="Arial" w:hAnsi="Arial" w:cs="Arial"/>
          <w:sz w:val="22"/>
          <w:szCs w:val="22"/>
        </w:rPr>
      </w:pPr>
      <w:r w:rsidRPr="00CA2957">
        <w:rPr>
          <w:rFonts w:ascii="Arial" w:hAnsi="Arial" w:cs="Arial"/>
          <w:sz w:val="22"/>
          <w:szCs w:val="22"/>
        </w:rPr>
        <w:t>The Agency shou</w:t>
      </w:r>
      <w:r w:rsidR="00CA2957" w:rsidRPr="00CA2957">
        <w:rPr>
          <w:rFonts w:ascii="Arial" w:hAnsi="Arial" w:cs="Arial"/>
          <w:sz w:val="22"/>
          <w:szCs w:val="22"/>
        </w:rPr>
        <w:t>ld aim to issue its first bond to match the</w:t>
      </w:r>
      <w:r w:rsidRPr="00CA2957">
        <w:rPr>
          <w:rFonts w:ascii="Arial" w:hAnsi="Arial" w:cs="Arial"/>
          <w:sz w:val="22"/>
          <w:szCs w:val="22"/>
        </w:rPr>
        <w:t xml:space="preserve"> March/April 2015 pea</w:t>
      </w:r>
      <w:r w:rsidR="00BA7AE1" w:rsidRPr="00CA2957">
        <w:rPr>
          <w:rFonts w:ascii="Arial" w:hAnsi="Arial" w:cs="Arial"/>
          <w:sz w:val="22"/>
          <w:szCs w:val="22"/>
        </w:rPr>
        <w:t>k</w:t>
      </w:r>
      <w:r w:rsidRPr="00CA2957">
        <w:rPr>
          <w:rFonts w:ascii="Arial" w:hAnsi="Arial" w:cs="Arial"/>
          <w:sz w:val="22"/>
          <w:szCs w:val="22"/>
        </w:rPr>
        <w:t xml:space="preserve"> in </w:t>
      </w:r>
      <w:r w:rsidR="00CA2957" w:rsidRPr="00CA2957">
        <w:rPr>
          <w:rFonts w:ascii="Arial" w:hAnsi="Arial" w:cs="Arial"/>
          <w:sz w:val="22"/>
          <w:szCs w:val="22"/>
        </w:rPr>
        <w:t>council borrowing.  A</w:t>
      </w:r>
      <w:r w:rsidRPr="00CA2957">
        <w:rPr>
          <w:rFonts w:ascii="Arial" w:hAnsi="Arial" w:cs="Arial"/>
          <w:sz w:val="22"/>
          <w:szCs w:val="22"/>
        </w:rPr>
        <w:t xml:space="preserve"> </w:t>
      </w:r>
      <w:r w:rsidR="00CF3C8B" w:rsidRPr="00CA2957">
        <w:rPr>
          <w:rFonts w:ascii="Arial" w:hAnsi="Arial" w:cs="Arial"/>
          <w:sz w:val="22"/>
          <w:szCs w:val="22"/>
        </w:rPr>
        <w:t xml:space="preserve">mobilisation phase </w:t>
      </w:r>
      <w:r w:rsidR="00BE304B" w:rsidRPr="00CA2957">
        <w:rPr>
          <w:rFonts w:ascii="Arial" w:hAnsi="Arial" w:cs="Arial"/>
          <w:sz w:val="22"/>
          <w:szCs w:val="22"/>
        </w:rPr>
        <w:t>should</w:t>
      </w:r>
      <w:r w:rsidR="00CF3C8B" w:rsidRPr="00CA2957">
        <w:rPr>
          <w:rFonts w:ascii="Arial" w:hAnsi="Arial" w:cs="Arial"/>
          <w:sz w:val="22"/>
          <w:szCs w:val="22"/>
        </w:rPr>
        <w:t xml:space="preserve"> start once the decision to proceed is made and </w:t>
      </w:r>
      <w:r w:rsidR="00CA2957" w:rsidRPr="00CA2957">
        <w:rPr>
          <w:rFonts w:ascii="Arial" w:hAnsi="Arial" w:cs="Arial"/>
          <w:sz w:val="22"/>
          <w:szCs w:val="22"/>
        </w:rPr>
        <w:t>last six months. T</w:t>
      </w:r>
      <w:r w:rsidR="00CF3C8B" w:rsidRPr="00CA2957">
        <w:rPr>
          <w:rFonts w:ascii="Arial" w:hAnsi="Arial" w:cs="Arial"/>
          <w:sz w:val="22"/>
          <w:szCs w:val="22"/>
        </w:rPr>
        <w:t xml:space="preserve">he </w:t>
      </w:r>
      <w:r w:rsidR="00177F56" w:rsidRPr="00CA2957">
        <w:rPr>
          <w:rFonts w:ascii="Arial" w:hAnsi="Arial" w:cs="Arial"/>
          <w:sz w:val="22"/>
          <w:szCs w:val="22"/>
        </w:rPr>
        <w:t>mobilisation</w:t>
      </w:r>
      <w:r w:rsidR="00CF3C8B" w:rsidRPr="00CA2957">
        <w:rPr>
          <w:rFonts w:ascii="Arial" w:hAnsi="Arial" w:cs="Arial"/>
          <w:sz w:val="22"/>
          <w:szCs w:val="22"/>
        </w:rPr>
        <w:t xml:space="preserve"> ph</w:t>
      </w:r>
      <w:r w:rsidR="00CA2957" w:rsidRPr="00CA2957">
        <w:rPr>
          <w:rFonts w:ascii="Arial" w:hAnsi="Arial" w:cs="Arial"/>
          <w:sz w:val="22"/>
          <w:szCs w:val="22"/>
        </w:rPr>
        <w:t>ase will cost approximately £0.8 million and would establish</w:t>
      </w:r>
      <w:r w:rsidR="00CF3C8B" w:rsidRPr="00CA2957">
        <w:rPr>
          <w:rFonts w:ascii="Arial" w:hAnsi="Arial" w:cs="Arial"/>
          <w:sz w:val="22"/>
          <w:szCs w:val="22"/>
        </w:rPr>
        <w:t xml:space="preserve"> the corporate structure</w:t>
      </w:r>
      <w:r w:rsidR="00CA2957" w:rsidRPr="00CA2957">
        <w:rPr>
          <w:rFonts w:ascii="Arial" w:hAnsi="Arial" w:cs="Arial"/>
          <w:sz w:val="22"/>
          <w:szCs w:val="22"/>
        </w:rPr>
        <w:t>; h</w:t>
      </w:r>
      <w:r w:rsidR="007A105F" w:rsidRPr="00CA2957">
        <w:rPr>
          <w:rFonts w:ascii="Arial" w:hAnsi="Arial" w:cs="Arial"/>
          <w:sz w:val="22"/>
          <w:szCs w:val="22"/>
        </w:rPr>
        <w:t>ir</w:t>
      </w:r>
      <w:r w:rsidR="00CA2957" w:rsidRPr="00CA2957">
        <w:rPr>
          <w:rFonts w:ascii="Arial" w:hAnsi="Arial" w:cs="Arial"/>
          <w:sz w:val="22"/>
          <w:szCs w:val="22"/>
        </w:rPr>
        <w:t>e</w:t>
      </w:r>
      <w:r w:rsidR="007A105F" w:rsidRPr="00CA2957">
        <w:rPr>
          <w:rFonts w:ascii="Arial" w:hAnsi="Arial" w:cs="Arial"/>
          <w:sz w:val="22"/>
          <w:szCs w:val="22"/>
        </w:rPr>
        <w:t xml:space="preserve"> of key personnel</w:t>
      </w:r>
      <w:r w:rsidR="00CA2957" w:rsidRPr="00CA2957">
        <w:rPr>
          <w:rFonts w:ascii="Arial" w:hAnsi="Arial" w:cs="Arial"/>
          <w:sz w:val="22"/>
          <w:szCs w:val="22"/>
        </w:rPr>
        <w:t xml:space="preserve">; </w:t>
      </w:r>
      <w:r w:rsidR="007A105F" w:rsidRPr="00CA2957">
        <w:rPr>
          <w:rFonts w:ascii="Arial" w:hAnsi="Arial" w:cs="Arial"/>
          <w:sz w:val="22"/>
          <w:szCs w:val="22"/>
        </w:rPr>
        <w:t>establish the Board</w:t>
      </w:r>
      <w:r w:rsidR="00CA2957" w:rsidRPr="00CA2957">
        <w:rPr>
          <w:rFonts w:ascii="Arial" w:hAnsi="Arial" w:cs="Arial"/>
          <w:sz w:val="22"/>
          <w:szCs w:val="22"/>
        </w:rPr>
        <w:t>; i</w:t>
      </w:r>
      <w:r w:rsidR="007A105F" w:rsidRPr="00CA2957">
        <w:rPr>
          <w:rFonts w:ascii="Arial" w:hAnsi="Arial" w:cs="Arial"/>
          <w:sz w:val="22"/>
          <w:szCs w:val="22"/>
        </w:rPr>
        <w:t>dentif</w:t>
      </w:r>
      <w:r w:rsidR="00CA2957" w:rsidRPr="00CA2957">
        <w:rPr>
          <w:rFonts w:ascii="Arial" w:hAnsi="Arial" w:cs="Arial"/>
          <w:sz w:val="22"/>
          <w:szCs w:val="22"/>
        </w:rPr>
        <w:t xml:space="preserve">y </w:t>
      </w:r>
      <w:r w:rsidR="007A105F" w:rsidRPr="00CA2957">
        <w:rPr>
          <w:rFonts w:ascii="Arial" w:hAnsi="Arial" w:cs="Arial"/>
          <w:sz w:val="22"/>
          <w:szCs w:val="22"/>
        </w:rPr>
        <w:t>the initial list of borrowers and investors in the Agency</w:t>
      </w:r>
      <w:r w:rsidR="00CA2957" w:rsidRPr="00CA2957">
        <w:rPr>
          <w:rFonts w:ascii="Arial" w:hAnsi="Arial" w:cs="Arial"/>
          <w:sz w:val="22"/>
          <w:szCs w:val="22"/>
        </w:rPr>
        <w:t>; d</w:t>
      </w:r>
      <w:r w:rsidR="007A105F" w:rsidRPr="00CA2957">
        <w:rPr>
          <w:rFonts w:ascii="Arial" w:hAnsi="Arial" w:cs="Arial"/>
          <w:sz w:val="22"/>
          <w:szCs w:val="22"/>
        </w:rPr>
        <w:t>esign key policies and processes</w:t>
      </w:r>
      <w:r w:rsidR="00CA2957">
        <w:rPr>
          <w:rFonts w:ascii="Arial" w:hAnsi="Arial" w:cs="Arial"/>
          <w:sz w:val="22"/>
          <w:szCs w:val="22"/>
        </w:rPr>
        <w:t>.</w:t>
      </w:r>
    </w:p>
    <w:p w14:paraId="599F5354" w14:textId="77777777" w:rsidR="00CA2957" w:rsidRPr="00CA2957" w:rsidRDefault="00CA2957" w:rsidP="00CA2957">
      <w:pPr>
        <w:pStyle w:val="ListParagraph"/>
        <w:ind w:left="360"/>
        <w:rPr>
          <w:rFonts w:ascii="Arial" w:hAnsi="Arial" w:cs="Arial"/>
          <w:sz w:val="22"/>
          <w:szCs w:val="22"/>
        </w:rPr>
      </w:pPr>
    </w:p>
    <w:p w14:paraId="465097BE" w14:textId="77777777" w:rsidR="004A738F" w:rsidRDefault="004A738F" w:rsidP="00177F56">
      <w:pPr>
        <w:pStyle w:val="ListParagraph"/>
        <w:ind w:left="0"/>
        <w:rPr>
          <w:rFonts w:ascii="Arial" w:hAnsi="Arial" w:cs="Arial"/>
          <w:b/>
          <w:sz w:val="22"/>
          <w:szCs w:val="22"/>
        </w:rPr>
      </w:pPr>
    </w:p>
    <w:p w14:paraId="19CC985C" w14:textId="77777777" w:rsidR="004A738F" w:rsidRDefault="004A738F" w:rsidP="00177F56">
      <w:pPr>
        <w:pStyle w:val="ListParagraph"/>
        <w:ind w:left="0"/>
        <w:rPr>
          <w:rFonts w:ascii="Arial" w:hAnsi="Arial" w:cs="Arial"/>
          <w:b/>
          <w:sz w:val="22"/>
          <w:szCs w:val="22"/>
        </w:rPr>
      </w:pPr>
    </w:p>
    <w:p w14:paraId="599F5355" w14:textId="77777777" w:rsidR="00177F56" w:rsidRDefault="00177F56" w:rsidP="00177F56">
      <w:pPr>
        <w:pStyle w:val="ListParagraph"/>
        <w:ind w:left="0"/>
        <w:rPr>
          <w:rFonts w:ascii="Arial" w:hAnsi="Arial" w:cs="Arial"/>
          <w:b/>
          <w:sz w:val="22"/>
          <w:szCs w:val="22"/>
        </w:rPr>
      </w:pPr>
      <w:r>
        <w:rPr>
          <w:rFonts w:ascii="Arial" w:hAnsi="Arial" w:cs="Arial"/>
          <w:b/>
          <w:sz w:val="22"/>
          <w:szCs w:val="22"/>
        </w:rPr>
        <w:lastRenderedPageBreak/>
        <w:t>Governance</w:t>
      </w:r>
    </w:p>
    <w:p w14:paraId="599F5356" w14:textId="77777777" w:rsidR="00CA2957" w:rsidRPr="00177F56" w:rsidRDefault="00CA2957" w:rsidP="00177F56">
      <w:pPr>
        <w:pStyle w:val="ListParagraph"/>
        <w:ind w:left="0"/>
        <w:rPr>
          <w:rFonts w:ascii="Arial" w:hAnsi="Arial" w:cs="Arial"/>
          <w:b/>
          <w:sz w:val="22"/>
          <w:szCs w:val="22"/>
        </w:rPr>
      </w:pPr>
    </w:p>
    <w:p w14:paraId="599F5357" w14:textId="77777777" w:rsidR="00CF3C8B" w:rsidRDefault="0003583A" w:rsidP="00E61EB7">
      <w:pPr>
        <w:pStyle w:val="ListParagraph"/>
        <w:numPr>
          <w:ilvl w:val="0"/>
          <w:numId w:val="1"/>
        </w:numPr>
        <w:rPr>
          <w:rFonts w:ascii="Arial" w:hAnsi="Arial" w:cs="Arial"/>
          <w:sz w:val="22"/>
          <w:szCs w:val="22"/>
        </w:rPr>
      </w:pPr>
      <w:r>
        <w:rPr>
          <w:rFonts w:ascii="Arial" w:hAnsi="Arial" w:cs="Arial"/>
          <w:sz w:val="22"/>
          <w:szCs w:val="22"/>
        </w:rPr>
        <w:t xml:space="preserve">Control should </w:t>
      </w:r>
      <w:r w:rsidR="00CA2957">
        <w:rPr>
          <w:rFonts w:ascii="Arial" w:hAnsi="Arial" w:cs="Arial"/>
          <w:sz w:val="22"/>
          <w:szCs w:val="22"/>
        </w:rPr>
        <w:t xml:space="preserve">rest with </w:t>
      </w:r>
      <w:r>
        <w:rPr>
          <w:rFonts w:ascii="Arial" w:hAnsi="Arial" w:cs="Arial"/>
          <w:sz w:val="22"/>
          <w:szCs w:val="22"/>
        </w:rPr>
        <w:t>the LGA as the project sponsor</w:t>
      </w:r>
      <w:r w:rsidR="00BE304B">
        <w:rPr>
          <w:rFonts w:ascii="Arial" w:hAnsi="Arial" w:cs="Arial"/>
          <w:sz w:val="22"/>
          <w:szCs w:val="22"/>
        </w:rPr>
        <w:t>s</w:t>
      </w:r>
      <w:r>
        <w:rPr>
          <w:rFonts w:ascii="Arial" w:hAnsi="Arial" w:cs="Arial"/>
          <w:sz w:val="22"/>
          <w:szCs w:val="22"/>
        </w:rPr>
        <w:t xml:space="preserve"> </w:t>
      </w:r>
      <w:r w:rsidR="00CA2957">
        <w:rPr>
          <w:rFonts w:ascii="Arial" w:hAnsi="Arial" w:cs="Arial"/>
          <w:sz w:val="22"/>
          <w:szCs w:val="22"/>
        </w:rPr>
        <w:t>in mobilisation phase. A</w:t>
      </w:r>
      <w:r>
        <w:rPr>
          <w:rFonts w:ascii="Arial" w:hAnsi="Arial" w:cs="Arial"/>
          <w:sz w:val="22"/>
          <w:szCs w:val="22"/>
        </w:rPr>
        <w:t xml:space="preserve"> project board </w:t>
      </w:r>
      <w:r w:rsidR="00CA2957">
        <w:rPr>
          <w:rFonts w:ascii="Arial" w:hAnsi="Arial" w:cs="Arial"/>
          <w:sz w:val="22"/>
          <w:szCs w:val="22"/>
        </w:rPr>
        <w:t xml:space="preserve">should </w:t>
      </w:r>
      <w:r w:rsidR="002F3E6B">
        <w:rPr>
          <w:rFonts w:ascii="Arial" w:hAnsi="Arial" w:cs="Arial"/>
          <w:sz w:val="22"/>
          <w:szCs w:val="22"/>
        </w:rPr>
        <w:t xml:space="preserve">oversee </w:t>
      </w:r>
      <w:r w:rsidR="00CA2957">
        <w:rPr>
          <w:rFonts w:ascii="Arial" w:hAnsi="Arial" w:cs="Arial"/>
          <w:sz w:val="22"/>
          <w:szCs w:val="22"/>
        </w:rPr>
        <w:t xml:space="preserve">execution, with </w:t>
      </w:r>
      <w:r>
        <w:rPr>
          <w:rFonts w:ascii="Arial" w:hAnsi="Arial" w:cs="Arial"/>
          <w:sz w:val="22"/>
          <w:szCs w:val="22"/>
        </w:rPr>
        <w:t>CFO and political groups</w:t>
      </w:r>
      <w:r w:rsidR="00CA2957">
        <w:rPr>
          <w:rFonts w:ascii="Arial" w:hAnsi="Arial" w:cs="Arial"/>
          <w:sz w:val="22"/>
          <w:szCs w:val="22"/>
        </w:rPr>
        <w:t xml:space="preserve"> retaining an</w:t>
      </w:r>
      <w:r>
        <w:rPr>
          <w:rFonts w:ascii="Arial" w:hAnsi="Arial" w:cs="Arial"/>
          <w:sz w:val="22"/>
          <w:szCs w:val="22"/>
        </w:rPr>
        <w:t xml:space="preserve"> advisory role</w:t>
      </w:r>
      <w:r w:rsidR="00CA2957">
        <w:rPr>
          <w:rFonts w:ascii="Arial" w:hAnsi="Arial" w:cs="Arial"/>
          <w:sz w:val="22"/>
          <w:szCs w:val="22"/>
        </w:rPr>
        <w:t>.</w:t>
      </w:r>
      <w:r>
        <w:rPr>
          <w:rFonts w:ascii="Arial" w:hAnsi="Arial" w:cs="Arial"/>
          <w:sz w:val="22"/>
          <w:szCs w:val="22"/>
        </w:rPr>
        <w:t xml:space="preserve"> </w:t>
      </w:r>
      <w:r w:rsidR="00732A4A">
        <w:rPr>
          <w:rFonts w:ascii="Arial" w:hAnsi="Arial" w:cs="Arial"/>
          <w:sz w:val="22"/>
          <w:szCs w:val="22"/>
        </w:rPr>
        <w:t xml:space="preserve">Once appointed the Board </w:t>
      </w:r>
      <w:r w:rsidR="000078E9">
        <w:rPr>
          <w:rFonts w:ascii="Arial" w:hAnsi="Arial" w:cs="Arial"/>
          <w:sz w:val="22"/>
          <w:szCs w:val="22"/>
        </w:rPr>
        <w:t xml:space="preserve">of Directors </w:t>
      </w:r>
      <w:r w:rsidR="00BE304B">
        <w:rPr>
          <w:rFonts w:ascii="Arial" w:hAnsi="Arial" w:cs="Arial"/>
          <w:sz w:val="22"/>
          <w:szCs w:val="22"/>
        </w:rPr>
        <w:t>(</w:t>
      </w:r>
      <w:proofErr w:type="spellStart"/>
      <w:r w:rsidR="00BE304B">
        <w:rPr>
          <w:rFonts w:ascii="Arial" w:hAnsi="Arial" w:cs="Arial"/>
          <w:sz w:val="22"/>
          <w:szCs w:val="22"/>
        </w:rPr>
        <w:t>BoD</w:t>
      </w:r>
      <w:proofErr w:type="spellEnd"/>
      <w:r w:rsidR="00BE304B">
        <w:rPr>
          <w:rFonts w:ascii="Arial" w:hAnsi="Arial" w:cs="Arial"/>
          <w:sz w:val="22"/>
          <w:szCs w:val="22"/>
        </w:rPr>
        <w:t xml:space="preserve">) </w:t>
      </w:r>
      <w:r w:rsidR="00732A4A">
        <w:rPr>
          <w:rFonts w:ascii="Arial" w:hAnsi="Arial" w:cs="Arial"/>
          <w:sz w:val="22"/>
          <w:szCs w:val="22"/>
        </w:rPr>
        <w:t xml:space="preserve">may operate in a shadow capacity </w:t>
      </w:r>
      <w:r w:rsidR="00BA7AE1">
        <w:rPr>
          <w:rFonts w:ascii="Arial" w:hAnsi="Arial" w:cs="Arial"/>
          <w:sz w:val="22"/>
          <w:szCs w:val="22"/>
        </w:rPr>
        <w:t>until launch</w:t>
      </w:r>
      <w:r w:rsidR="00732A4A">
        <w:rPr>
          <w:rFonts w:ascii="Arial" w:hAnsi="Arial" w:cs="Arial"/>
          <w:sz w:val="22"/>
          <w:szCs w:val="22"/>
        </w:rPr>
        <w:t xml:space="preserve">.  </w:t>
      </w:r>
      <w:r w:rsidR="00BA7AE1">
        <w:rPr>
          <w:rFonts w:ascii="Arial" w:hAnsi="Arial" w:cs="Arial"/>
          <w:sz w:val="22"/>
          <w:szCs w:val="22"/>
        </w:rPr>
        <w:t xml:space="preserve">The project board in consultation with the </w:t>
      </w:r>
      <w:proofErr w:type="spellStart"/>
      <w:r w:rsidR="00BA7AE1">
        <w:rPr>
          <w:rFonts w:ascii="Arial" w:hAnsi="Arial" w:cs="Arial"/>
          <w:sz w:val="22"/>
          <w:szCs w:val="22"/>
        </w:rPr>
        <w:t>Bo</w:t>
      </w:r>
      <w:r w:rsidR="00BE304B">
        <w:rPr>
          <w:rFonts w:ascii="Arial" w:hAnsi="Arial" w:cs="Arial"/>
          <w:sz w:val="22"/>
          <w:szCs w:val="22"/>
        </w:rPr>
        <w:t>D</w:t>
      </w:r>
      <w:proofErr w:type="spellEnd"/>
      <w:r w:rsidR="00BA7AE1">
        <w:rPr>
          <w:rFonts w:ascii="Arial" w:hAnsi="Arial" w:cs="Arial"/>
          <w:sz w:val="22"/>
          <w:szCs w:val="22"/>
        </w:rPr>
        <w:t xml:space="preserve"> will determine the point at which the project moves into launch.</w:t>
      </w:r>
      <w:r w:rsidR="000078E9">
        <w:rPr>
          <w:rFonts w:ascii="Arial" w:hAnsi="Arial" w:cs="Arial"/>
          <w:sz w:val="22"/>
          <w:szCs w:val="22"/>
        </w:rPr>
        <w:t xml:space="preserve"> </w:t>
      </w:r>
    </w:p>
    <w:p w14:paraId="599F5358" w14:textId="77777777" w:rsidR="00732A4A" w:rsidRDefault="00732A4A" w:rsidP="00732A4A">
      <w:pPr>
        <w:pStyle w:val="ListParagraph"/>
        <w:ind w:left="360"/>
        <w:rPr>
          <w:rFonts w:ascii="Arial" w:hAnsi="Arial" w:cs="Arial"/>
          <w:sz w:val="22"/>
          <w:szCs w:val="22"/>
        </w:rPr>
      </w:pPr>
    </w:p>
    <w:p w14:paraId="599F5359" w14:textId="77777777" w:rsidR="00732A4A" w:rsidRDefault="002F3E6B" w:rsidP="00E61EB7">
      <w:pPr>
        <w:pStyle w:val="ListParagraph"/>
        <w:numPr>
          <w:ilvl w:val="0"/>
          <w:numId w:val="1"/>
        </w:numPr>
        <w:rPr>
          <w:rFonts w:ascii="Arial" w:hAnsi="Arial" w:cs="Arial"/>
          <w:sz w:val="22"/>
          <w:szCs w:val="22"/>
        </w:rPr>
      </w:pPr>
      <w:r>
        <w:rPr>
          <w:rFonts w:ascii="Arial" w:hAnsi="Arial" w:cs="Arial"/>
          <w:sz w:val="22"/>
          <w:szCs w:val="22"/>
        </w:rPr>
        <w:t>At</w:t>
      </w:r>
      <w:r w:rsidR="00732A4A">
        <w:rPr>
          <w:rFonts w:ascii="Arial" w:hAnsi="Arial" w:cs="Arial"/>
          <w:sz w:val="22"/>
          <w:szCs w:val="22"/>
        </w:rPr>
        <w:t xml:space="preserve"> launch</w:t>
      </w:r>
      <w:r w:rsidR="001D6971">
        <w:rPr>
          <w:rFonts w:ascii="Arial" w:hAnsi="Arial" w:cs="Arial"/>
          <w:sz w:val="22"/>
          <w:szCs w:val="22"/>
        </w:rPr>
        <w:t xml:space="preserve">, </w:t>
      </w:r>
      <w:r w:rsidR="00732A4A">
        <w:rPr>
          <w:rFonts w:ascii="Arial" w:hAnsi="Arial" w:cs="Arial"/>
          <w:sz w:val="22"/>
          <w:szCs w:val="22"/>
        </w:rPr>
        <w:t xml:space="preserve">the </w:t>
      </w:r>
      <w:proofErr w:type="spellStart"/>
      <w:r w:rsidR="00732A4A">
        <w:rPr>
          <w:rFonts w:ascii="Arial" w:hAnsi="Arial" w:cs="Arial"/>
          <w:sz w:val="22"/>
          <w:szCs w:val="22"/>
        </w:rPr>
        <w:t>B</w:t>
      </w:r>
      <w:r w:rsidR="00BE304B">
        <w:rPr>
          <w:rFonts w:ascii="Arial" w:hAnsi="Arial" w:cs="Arial"/>
          <w:sz w:val="22"/>
          <w:szCs w:val="22"/>
        </w:rPr>
        <w:t>o</w:t>
      </w:r>
      <w:r w:rsidR="00732A4A">
        <w:rPr>
          <w:rFonts w:ascii="Arial" w:hAnsi="Arial" w:cs="Arial"/>
          <w:sz w:val="22"/>
          <w:szCs w:val="22"/>
        </w:rPr>
        <w:t>D</w:t>
      </w:r>
      <w:proofErr w:type="spellEnd"/>
      <w:r w:rsidR="00732A4A">
        <w:rPr>
          <w:rFonts w:ascii="Arial" w:hAnsi="Arial" w:cs="Arial"/>
          <w:sz w:val="22"/>
          <w:szCs w:val="22"/>
        </w:rPr>
        <w:t xml:space="preserve"> will formally take control of the Agency.  </w:t>
      </w:r>
      <w:r w:rsidR="000862E2">
        <w:rPr>
          <w:rFonts w:ascii="Arial" w:hAnsi="Arial" w:cs="Arial"/>
          <w:sz w:val="22"/>
          <w:szCs w:val="22"/>
        </w:rPr>
        <w:t xml:space="preserve">The </w:t>
      </w:r>
      <w:proofErr w:type="spellStart"/>
      <w:r w:rsidR="000862E2">
        <w:rPr>
          <w:rFonts w:ascii="Arial" w:hAnsi="Arial" w:cs="Arial"/>
          <w:sz w:val="22"/>
          <w:szCs w:val="22"/>
        </w:rPr>
        <w:t>Bo</w:t>
      </w:r>
      <w:r w:rsidR="00BE304B">
        <w:rPr>
          <w:rFonts w:ascii="Arial" w:hAnsi="Arial" w:cs="Arial"/>
          <w:sz w:val="22"/>
          <w:szCs w:val="22"/>
        </w:rPr>
        <w:t>D</w:t>
      </w:r>
      <w:proofErr w:type="spellEnd"/>
      <w:r w:rsidR="000862E2">
        <w:rPr>
          <w:rFonts w:ascii="Arial" w:hAnsi="Arial" w:cs="Arial"/>
          <w:sz w:val="22"/>
          <w:szCs w:val="22"/>
        </w:rPr>
        <w:t xml:space="preserve"> will consist of: three members elected by shareholders, one of whom will be the Chair; </w:t>
      </w:r>
      <w:r w:rsidR="00BE304B">
        <w:rPr>
          <w:rFonts w:ascii="Arial" w:hAnsi="Arial" w:cs="Arial"/>
          <w:sz w:val="22"/>
          <w:szCs w:val="22"/>
        </w:rPr>
        <w:t>a</w:t>
      </w:r>
      <w:r w:rsidR="000862E2">
        <w:rPr>
          <w:rFonts w:ascii="Arial" w:hAnsi="Arial" w:cs="Arial"/>
          <w:sz w:val="22"/>
          <w:szCs w:val="22"/>
        </w:rPr>
        <w:t xml:space="preserve"> debt capital markets</w:t>
      </w:r>
      <w:r w:rsidRPr="002F3E6B">
        <w:rPr>
          <w:rFonts w:ascii="Arial" w:hAnsi="Arial" w:cs="Arial"/>
          <w:sz w:val="22"/>
          <w:szCs w:val="22"/>
        </w:rPr>
        <w:t xml:space="preserve"> </w:t>
      </w:r>
      <w:r>
        <w:rPr>
          <w:rFonts w:ascii="Arial" w:hAnsi="Arial" w:cs="Arial"/>
          <w:sz w:val="22"/>
          <w:szCs w:val="22"/>
        </w:rPr>
        <w:t>expert</w:t>
      </w:r>
      <w:r w:rsidR="000862E2">
        <w:rPr>
          <w:rFonts w:ascii="Arial" w:hAnsi="Arial" w:cs="Arial"/>
          <w:sz w:val="22"/>
          <w:szCs w:val="22"/>
        </w:rPr>
        <w:t xml:space="preserve">; </w:t>
      </w:r>
      <w:r w:rsidR="00BE304B">
        <w:rPr>
          <w:rFonts w:ascii="Arial" w:hAnsi="Arial" w:cs="Arial"/>
          <w:sz w:val="22"/>
          <w:szCs w:val="22"/>
        </w:rPr>
        <w:t>a</w:t>
      </w:r>
      <w:r w:rsidR="000862E2">
        <w:rPr>
          <w:rFonts w:ascii="Arial" w:hAnsi="Arial" w:cs="Arial"/>
          <w:sz w:val="22"/>
          <w:szCs w:val="22"/>
        </w:rPr>
        <w:t xml:space="preserve"> risk management</w:t>
      </w:r>
      <w:r w:rsidRPr="002F3E6B">
        <w:rPr>
          <w:rFonts w:ascii="Arial" w:hAnsi="Arial" w:cs="Arial"/>
          <w:sz w:val="22"/>
          <w:szCs w:val="22"/>
        </w:rPr>
        <w:t xml:space="preserve"> </w:t>
      </w:r>
      <w:r>
        <w:rPr>
          <w:rFonts w:ascii="Arial" w:hAnsi="Arial" w:cs="Arial"/>
          <w:sz w:val="22"/>
          <w:szCs w:val="22"/>
        </w:rPr>
        <w:t>expert</w:t>
      </w:r>
      <w:r w:rsidR="000862E2">
        <w:rPr>
          <w:rFonts w:ascii="Arial" w:hAnsi="Arial" w:cs="Arial"/>
          <w:sz w:val="22"/>
          <w:szCs w:val="22"/>
        </w:rPr>
        <w:t xml:space="preserve">; two council finance directors or equivalent.  The CEO may be a Director.  The initial board will be appointed by the LGA in conjunction with the project board and in consultation with the shareholders. </w:t>
      </w:r>
    </w:p>
    <w:p w14:paraId="599F535A" w14:textId="77777777" w:rsidR="000862E2" w:rsidRDefault="000862E2" w:rsidP="000862E2">
      <w:pPr>
        <w:pStyle w:val="ListParagraph"/>
        <w:rPr>
          <w:rFonts w:ascii="Arial" w:hAnsi="Arial" w:cs="Arial"/>
          <w:sz w:val="22"/>
          <w:szCs w:val="22"/>
        </w:rPr>
      </w:pPr>
    </w:p>
    <w:p w14:paraId="599F535B" w14:textId="77777777" w:rsidR="000862E2" w:rsidRDefault="000862E2" w:rsidP="000862E2">
      <w:pPr>
        <w:pStyle w:val="ListParagraph"/>
        <w:ind w:left="0"/>
        <w:rPr>
          <w:rFonts w:ascii="Arial" w:hAnsi="Arial" w:cs="Arial"/>
          <w:b/>
          <w:sz w:val="22"/>
          <w:szCs w:val="22"/>
        </w:rPr>
      </w:pPr>
      <w:r>
        <w:rPr>
          <w:rFonts w:ascii="Arial" w:hAnsi="Arial" w:cs="Arial"/>
          <w:b/>
          <w:sz w:val="22"/>
          <w:szCs w:val="22"/>
        </w:rPr>
        <w:t>Risk</w:t>
      </w:r>
    </w:p>
    <w:p w14:paraId="599F535C" w14:textId="77777777" w:rsidR="00CA2957" w:rsidRPr="000862E2" w:rsidRDefault="00CA2957" w:rsidP="000862E2">
      <w:pPr>
        <w:pStyle w:val="ListParagraph"/>
        <w:ind w:left="0"/>
        <w:rPr>
          <w:rFonts w:ascii="Arial" w:hAnsi="Arial" w:cs="Arial"/>
          <w:b/>
          <w:sz w:val="22"/>
          <w:szCs w:val="22"/>
        </w:rPr>
      </w:pPr>
    </w:p>
    <w:p w14:paraId="599F535D" w14:textId="77777777" w:rsidR="006A660D" w:rsidRPr="000078E9" w:rsidRDefault="00F76786" w:rsidP="007617CA">
      <w:pPr>
        <w:pStyle w:val="ListParagraph"/>
        <w:numPr>
          <w:ilvl w:val="0"/>
          <w:numId w:val="1"/>
        </w:numPr>
        <w:rPr>
          <w:rFonts w:ascii="Arial" w:hAnsi="Arial" w:cs="Arial"/>
          <w:sz w:val="22"/>
          <w:szCs w:val="22"/>
        </w:rPr>
      </w:pPr>
      <w:r w:rsidRPr="000078E9">
        <w:rPr>
          <w:rFonts w:ascii="Arial" w:hAnsi="Arial" w:cs="Arial"/>
          <w:sz w:val="22"/>
          <w:szCs w:val="22"/>
        </w:rPr>
        <w:t xml:space="preserve">There are five key risks at this stage the most significant being that it may not be possible to raise the operating capital from councils or related bodies, despite it being an attractive investment. Other risks relate to </w:t>
      </w:r>
      <w:r w:rsidR="002F3E6B">
        <w:rPr>
          <w:rFonts w:ascii="Arial" w:hAnsi="Arial" w:cs="Arial"/>
          <w:sz w:val="22"/>
          <w:szCs w:val="22"/>
        </w:rPr>
        <w:t xml:space="preserve">council demand; market pricing; PWLB lowering its interest rates; and attracting the right </w:t>
      </w:r>
      <w:r w:rsidR="004F120F">
        <w:rPr>
          <w:rFonts w:ascii="Arial" w:hAnsi="Arial" w:cs="Arial"/>
          <w:sz w:val="22"/>
          <w:szCs w:val="22"/>
        </w:rPr>
        <w:t xml:space="preserve">calibre of </w:t>
      </w:r>
      <w:r w:rsidR="002F3E6B">
        <w:rPr>
          <w:rFonts w:ascii="Arial" w:hAnsi="Arial" w:cs="Arial"/>
          <w:sz w:val="22"/>
          <w:szCs w:val="22"/>
        </w:rPr>
        <w:t>personnel.</w:t>
      </w:r>
      <w:r w:rsidR="007617CA" w:rsidRPr="000078E9">
        <w:rPr>
          <w:rFonts w:ascii="Arial" w:hAnsi="Arial" w:cs="Arial"/>
          <w:sz w:val="22"/>
          <w:szCs w:val="22"/>
        </w:rPr>
        <w:t xml:space="preserve">  </w:t>
      </w:r>
    </w:p>
    <w:sectPr w:rsidR="006A660D" w:rsidRPr="000078E9" w:rsidSect="008B5F5E">
      <w:headerReference w:type="default" r:id="rId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9467E" w14:textId="77777777" w:rsidR="00C2185E" w:rsidRDefault="00C2185E" w:rsidP="00C2185E">
      <w:r>
        <w:separator/>
      </w:r>
    </w:p>
  </w:endnote>
  <w:endnote w:type="continuationSeparator" w:id="0">
    <w:p w14:paraId="214DF13C" w14:textId="77777777" w:rsidR="00C2185E" w:rsidRDefault="00C2185E" w:rsidP="00C2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Frutiger 45 Light">
    <w:altName w:val="Arial"/>
    <w:panose1 w:val="020B08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515F2" w14:textId="77777777" w:rsidR="00C2185E" w:rsidRDefault="00C2185E" w:rsidP="00C2185E">
      <w:r>
        <w:separator/>
      </w:r>
    </w:p>
  </w:footnote>
  <w:footnote w:type="continuationSeparator" w:id="0">
    <w:p w14:paraId="2B9156A1" w14:textId="77777777" w:rsidR="00C2185E" w:rsidRDefault="00C2185E" w:rsidP="00C21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C2F89" w14:textId="77777777" w:rsidR="004A738F" w:rsidRDefault="004A738F"/>
  <w:p w14:paraId="23E890EF" w14:textId="77777777" w:rsidR="004A738F" w:rsidRDefault="004A738F"/>
  <w:tbl>
    <w:tblPr>
      <w:tblW w:w="0" w:type="auto"/>
      <w:tblLook w:val="01E0" w:firstRow="1" w:lastRow="1" w:firstColumn="1" w:lastColumn="1" w:noHBand="0" w:noVBand="0"/>
    </w:tblPr>
    <w:tblGrid>
      <w:gridCol w:w="6062"/>
      <w:gridCol w:w="3260"/>
    </w:tblGrid>
    <w:tr w:rsidR="00C2185E" w:rsidRPr="00C2185E" w14:paraId="33D67503" w14:textId="77777777" w:rsidTr="000C19AD">
      <w:tc>
        <w:tcPr>
          <w:tcW w:w="6062" w:type="dxa"/>
          <w:vMerge w:val="restart"/>
          <w:shd w:val="clear" w:color="auto" w:fill="auto"/>
        </w:tcPr>
        <w:p w14:paraId="3B3C92A5" w14:textId="77777777" w:rsidR="00C2185E" w:rsidRPr="00C2185E" w:rsidRDefault="00C2185E" w:rsidP="00C2185E">
          <w:pPr>
            <w:tabs>
              <w:tab w:val="center" w:pos="2923"/>
            </w:tabs>
            <w:rPr>
              <w:rFonts w:ascii="Frutiger 45 Light" w:hAnsi="Frutiger 45 Light"/>
              <w:sz w:val="22"/>
              <w:szCs w:val="20"/>
            </w:rPr>
          </w:pPr>
          <w:r w:rsidRPr="00C2185E">
            <w:rPr>
              <w:rFonts w:ascii="Arial" w:hAnsi="Arial" w:cs="Arial"/>
              <w:noProof/>
              <w:sz w:val="44"/>
              <w:szCs w:val="44"/>
            </w:rPr>
            <w:drawing>
              <wp:inline distT="0" distB="0" distL="0" distR="0" wp14:anchorId="3A7113D6" wp14:editId="3BF303F9">
                <wp:extent cx="1258584" cy="74676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5237" cy="744774"/>
                        </a:xfrm>
                        <a:prstGeom prst="rect">
                          <a:avLst/>
                        </a:prstGeom>
                        <a:noFill/>
                        <a:ln>
                          <a:noFill/>
                        </a:ln>
                      </pic:spPr>
                    </pic:pic>
                  </a:graphicData>
                </a:graphic>
              </wp:inline>
            </w:drawing>
          </w:r>
        </w:p>
      </w:tc>
      <w:tc>
        <w:tcPr>
          <w:tcW w:w="3260" w:type="dxa"/>
          <w:shd w:val="clear" w:color="auto" w:fill="auto"/>
          <w:vAlign w:val="center"/>
        </w:tcPr>
        <w:p w14:paraId="1DD29CCF" w14:textId="436323D2" w:rsidR="00C2185E" w:rsidRPr="00C2185E" w:rsidRDefault="0012605C" w:rsidP="00C2185E">
          <w:pPr>
            <w:tabs>
              <w:tab w:val="center" w:pos="4153"/>
              <w:tab w:val="right" w:pos="8306"/>
            </w:tabs>
            <w:rPr>
              <w:rFonts w:ascii="Arial" w:hAnsi="Arial" w:cs="Arial"/>
              <w:b/>
              <w:sz w:val="22"/>
              <w:szCs w:val="22"/>
            </w:rPr>
          </w:pPr>
          <w:r>
            <w:rPr>
              <w:rFonts w:ascii="Arial" w:hAnsi="Arial" w:cs="Arial"/>
              <w:b/>
              <w:sz w:val="22"/>
              <w:szCs w:val="22"/>
            </w:rPr>
            <w:t>Finance Panel</w:t>
          </w:r>
          <w:r w:rsidR="00C2185E" w:rsidRPr="00C2185E">
            <w:rPr>
              <w:rFonts w:ascii="Arial" w:hAnsi="Arial" w:cs="Arial"/>
              <w:b/>
              <w:sz w:val="22"/>
              <w:szCs w:val="22"/>
            </w:rPr>
            <w:t xml:space="preserve"> </w:t>
          </w:r>
        </w:p>
      </w:tc>
    </w:tr>
    <w:tr w:rsidR="00C2185E" w:rsidRPr="00C2185E" w14:paraId="3D97A72F" w14:textId="77777777" w:rsidTr="000C19AD">
      <w:trPr>
        <w:trHeight w:val="450"/>
      </w:trPr>
      <w:tc>
        <w:tcPr>
          <w:tcW w:w="6062" w:type="dxa"/>
          <w:vMerge/>
          <w:shd w:val="clear" w:color="auto" w:fill="auto"/>
        </w:tcPr>
        <w:p w14:paraId="4553B654" w14:textId="77777777" w:rsidR="00C2185E" w:rsidRPr="00C2185E" w:rsidRDefault="00C2185E" w:rsidP="00C2185E">
          <w:pPr>
            <w:tabs>
              <w:tab w:val="center" w:pos="4153"/>
              <w:tab w:val="right" w:pos="8306"/>
            </w:tabs>
            <w:rPr>
              <w:rFonts w:ascii="Frutiger 45 Light" w:hAnsi="Frutiger 45 Light"/>
              <w:sz w:val="22"/>
              <w:szCs w:val="20"/>
            </w:rPr>
          </w:pPr>
        </w:p>
      </w:tc>
      <w:tc>
        <w:tcPr>
          <w:tcW w:w="3260" w:type="dxa"/>
          <w:shd w:val="clear" w:color="auto" w:fill="auto"/>
          <w:vAlign w:val="center"/>
        </w:tcPr>
        <w:p w14:paraId="37867DDF" w14:textId="451C07A0" w:rsidR="00C2185E" w:rsidRPr="00C2185E" w:rsidRDefault="00C2185E" w:rsidP="0012605C">
          <w:pPr>
            <w:tabs>
              <w:tab w:val="center" w:pos="4153"/>
              <w:tab w:val="right" w:pos="8306"/>
            </w:tabs>
            <w:spacing w:before="60"/>
            <w:rPr>
              <w:rFonts w:ascii="Arial" w:hAnsi="Arial" w:cs="Arial"/>
              <w:sz w:val="22"/>
              <w:szCs w:val="22"/>
            </w:rPr>
          </w:pPr>
          <w:r w:rsidRPr="00C2185E">
            <w:rPr>
              <w:rFonts w:ascii="Arial" w:hAnsi="Arial" w:cs="Arial"/>
              <w:sz w:val="22"/>
              <w:szCs w:val="22"/>
            </w:rPr>
            <w:t>2</w:t>
          </w:r>
          <w:r w:rsidR="0012605C">
            <w:rPr>
              <w:rFonts w:ascii="Arial" w:hAnsi="Arial" w:cs="Arial"/>
              <w:sz w:val="22"/>
              <w:szCs w:val="22"/>
            </w:rPr>
            <w:t>8</w:t>
          </w:r>
          <w:r w:rsidRPr="00C2185E">
            <w:rPr>
              <w:rFonts w:ascii="Arial" w:hAnsi="Arial" w:cs="Arial"/>
              <w:sz w:val="22"/>
              <w:szCs w:val="22"/>
            </w:rPr>
            <w:t xml:space="preserve"> March 2014</w:t>
          </w:r>
        </w:p>
      </w:tc>
    </w:tr>
    <w:tr w:rsidR="00C2185E" w:rsidRPr="00C2185E" w14:paraId="671C0ECF" w14:textId="77777777" w:rsidTr="000C19AD">
      <w:trPr>
        <w:trHeight w:val="708"/>
      </w:trPr>
      <w:tc>
        <w:tcPr>
          <w:tcW w:w="6062" w:type="dxa"/>
          <w:vMerge/>
          <w:shd w:val="clear" w:color="auto" w:fill="auto"/>
        </w:tcPr>
        <w:p w14:paraId="7DF58160" w14:textId="77777777" w:rsidR="00C2185E" w:rsidRPr="00C2185E" w:rsidRDefault="00C2185E" w:rsidP="00C2185E">
          <w:pPr>
            <w:tabs>
              <w:tab w:val="center" w:pos="4153"/>
              <w:tab w:val="right" w:pos="8306"/>
            </w:tabs>
            <w:rPr>
              <w:rFonts w:ascii="Frutiger 45 Light" w:hAnsi="Frutiger 45 Light"/>
              <w:sz w:val="22"/>
              <w:szCs w:val="20"/>
            </w:rPr>
          </w:pPr>
        </w:p>
      </w:tc>
      <w:tc>
        <w:tcPr>
          <w:tcW w:w="3260" w:type="dxa"/>
          <w:shd w:val="clear" w:color="auto" w:fill="auto"/>
          <w:vAlign w:val="center"/>
        </w:tcPr>
        <w:p w14:paraId="4E712EC5" w14:textId="77777777" w:rsidR="00C2185E" w:rsidRPr="00C2185E" w:rsidRDefault="00C2185E" w:rsidP="00C2185E">
          <w:pPr>
            <w:tabs>
              <w:tab w:val="center" w:pos="4153"/>
              <w:tab w:val="right" w:pos="8306"/>
            </w:tabs>
            <w:spacing w:before="60"/>
            <w:rPr>
              <w:rFonts w:ascii="Arial" w:hAnsi="Arial" w:cs="Arial"/>
              <w:b/>
              <w:sz w:val="22"/>
              <w:szCs w:val="22"/>
            </w:rPr>
          </w:pPr>
        </w:p>
      </w:tc>
    </w:tr>
  </w:tbl>
  <w:p w14:paraId="3978EF35" w14:textId="0DD39B3E" w:rsidR="00C2185E" w:rsidRPr="00680D87" w:rsidRDefault="00C2185E">
    <w:pPr>
      <w:pStyle w:val="Header"/>
      <w:rPr>
        <w:rFonts w:ascii="Arial" w:hAnsi="Arial" w:cs="Arial"/>
        <w:sz w:val="28"/>
        <w:szCs w:val="28"/>
      </w:rPr>
    </w:pPr>
  </w:p>
  <w:p w14:paraId="19885550" w14:textId="77777777" w:rsidR="00680D87" w:rsidRDefault="00680D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41EE"/>
    <w:multiLevelType w:val="hybridMultilevel"/>
    <w:tmpl w:val="1D500D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268224C"/>
    <w:multiLevelType w:val="hybridMultilevel"/>
    <w:tmpl w:val="E9CCD9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EDD5502"/>
    <w:multiLevelType w:val="hybridMultilevel"/>
    <w:tmpl w:val="10CA7B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7B802130"/>
    <w:multiLevelType w:val="hybridMultilevel"/>
    <w:tmpl w:val="B4E2D3E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C55"/>
    <w:rsid w:val="000078E9"/>
    <w:rsid w:val="0003583A"/>
    <w:rsid w:val="000862E2"/>
    <w:rsid w:val="0009597F"/>
    <w:rsid w:val="000C19AD"/>
    <w:rsid w:val="0012605C"/>
    <w:rsid w:val="001421C0"/>
    <w:rsid w:val="00151131"/>
    <w:rsid w:val="00177F56"/>
    <w:rsid w:val="00192869"/>
    <w:rsid w:val="001D2DC9"/>
    <w:rsid w:val="001D6971"/>
    <w:rsid w:val="00257543"/>
    <w:rsid w:val="00276290"/>
    <w:rsid w:val="002F3E6B"/>
    <w:rsid w:val="003314ED"/>
    <w:rsid w:val="003742D8"/>
    <w:rsid w:val="00385A93"/>
    <w:rsid w:val="0039300A"/>
    <w:rsid w:val="004377E3"/>
    <w:rsid w:val="00451F58"/>
    <w:rsid w:val="00475804"/>
    <w:rsid w:val="004A738F"/>
    <w:rsid w:val="004C3929"/>
    <w:rsid w:val="004D3BE1"/>
    <w:rsid w:val="004E74E6"/>
    <w:rsid w:val="004F120F"/>
    <w:rsid w:val="00535D7D"/>
    <w:rsid w:val="005461E8"/>
    <w:rsid w:val="00625906"/>
    <w:rsid w:val="00652D7B"/>
    <w:rsid w:val="00680D87"/>
    <w:rsid w:val="006A660D"/>
    <w:rsid w:val="006B6C97"/>
    <w:rsid w:val="00732A4A"/>
    <w:rsid w:val="00734ACB"/>
    <w:rsid w:val="007617CA"/>
    <w:rsid w:val="007A105F"/>
    <w:rsid w:val="007A2F0D"/>
    <w:rsid w:val="007E490F"/>
    <w:rsid w:val="00811088"/>
    <w:rsid w:val="008B5F5E"/>
    <w:rsid w:val="008D09D2"/>
    <w:rsid w:val="00932790"/>
    <w:rsid w:val="009A5CD5"/>
    <w:rsid w:val="009D2D6D"/>
    <w:rsid w:val="009D79ED"/>
    <w:rsid w:val="00A12D6A"/>
    <w:rsid w:val="00A22C55"/>
    <w:rsid w:val="00A575CF"/>
    <w:rsid w:val="00AC6668"/>
    <w:rsid w:val="00AE3AF6"/>
    <w:rsid w:val="00B5173A"/>
    <w:rsid w:val="00BA0FCA"/>
    <w:rsid w:val="00BA7AE1"/>
    <w:rsid w:val="00BE304B"/>
    <w:rsid w:val="00C17BBB"/>
    <w:rsid w:val="00C2185E"/>
    <w:rsid w:val="00C249FF"/>
    <w:rsid w:val="00C37A83"/>
    <w:rsid w:val="00CA2957"/>
    <w:rsid w:val="00CF3C8B"/>
    <w:rsid w:val="00DA6862"/>
    <w:rsid w:val="00E41170"/>
    <w:rsid w:val="00E61EB7"/>
    <w:rsid w:val="00E804C6"/>
    <w:rsid w:val="00F50C19"/>
    <w:rsid w:val="00F6674B"/>
    <w:rsid w:val="00F76786"/>
    <w:rsid w:val="00FB1F7A"/>
    <w:rsid w:val="00FB3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9F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F0D"/>
    <w:pPr>
      <w:ind w:left="720"/>
      <w:contextualSpacing/>
    </w:pPr>
  </w:style>
  <w:style w:type="character" w:styleId="CommentReference">
    <w:name w:val="annotation reference"/>
    <w:basedOn w:val="DefaultParagraphFont"/>
    <w:rsid w:val="001D2DC9"/>
    <w:rPr>
      <w:sz w:val="16"/>
      <w:szCs w:val="16"/>
    </w:rPr>
  </w:style>
  <w:style w:type="paragraph" w:styleId="CommentText">
    <w:name w:val="annotation text"/>
    <w:basedOn w:val="Normal"/>
    <w:link w:val="CommentTextChar"/>
    <w:rsid w:val="001D2DC9"/>
    <w:rPr>
      <w:sz w:val="20"/>
      <w:szCs w:val="20"/>
    </w:rPr>
  </w:style>
  <w:style w:type="character" w:customStyle="1" w:styleId="CommentTextChar">
    <w:name w:val="Comment Text Char"/>
    <w:basedOn w:val="DefaultParagraphFont"/>
    <w:link w:val="CommentText"/>
    <w:rsid w:val="001D2DC9"/>
  </w:style>
  <w:style w:type="paragraph" w:styleId="CommentSubject">
    <w:name w:val="annotation subject"/>
    <w:basedOn w:val="CommentText"/>
    <w:next w:val="CommentText"/>
    <w:link w:val="CommentSubjectChar"/>
    <w:rsid w:val="001D2DC9"/>
    <w:rPr>
      <w:b/>
      <w:bCs/>
    </w:rPr>
  </w:style>
  <w:style w:type="character" w:customStyle="1" w:styleId="CommentSubjectChar">
    <w:name w:val="Comment Subject Char"/>
    <w:basedOn w:val="CommentTextChar"/>
    <w:link w:val="CommentSubject"/>
    <w:rsid w:val="001D2DC9"/>
    <w:rPr>
      <w:b/>
      <w:bCs/>
    </w:rPr>
  </w:style>
  <w:style w:type="paragraph" w:styleId="BalloonText">
    <w:name w:val="Balloon Text"/>
    <w:basedOn w:val="Normal"/>
    <w:link w:val="BalloonTextChar"/>
    <w:rsid w:val="001D2DC9"/>
    <w:rPr>
      <w:rFonts w:ascii="Tahoma" w:hAnsi="Tahoma" w:cs="Tahoma"/>
      <w:sz w:val="16"/>
      <w:szCs w:val="16"/>
    </w:rPr>
  </w:style>
  <w:style w:type="character" w:customStyle="1" w:styleId="BalloonTextChar">
    <w:name w:val="Balloon Text Char"/>
    <w:basedOn w:val="DefaultParagraphFont"/>
    <w:link w:val="BalloonText"/>
    <w:rsid w:val="001D2DC9"/>
    <w:rPr>
      <w:rFonts w:ascii="Tahoma" w:hAnsi="Tahoma" w:cs="Tahoma"/>
      <w:sz w:val="16"/>
      <w:szCs w:val="16"/>
    </w:rPr>
  </w:style>
  <w:style w:type="paragraph" w:styleId="Header">
    <w:name w:val="header"/>
    <w:basedOn w:val="Normal"/>
    <w:link w:val="HeaderChar"/>
    <w:rsid w:val="00C2185E"/>
    <w:pPr>
      <w:tabs>
        <w:tab w:val="center" w:pos="4513"/>
        <w:tab w:val="right" w:pos="9026"/>
      </w:tabs>
    </w:pPr>
  </w:style>
  <w:style w:type="character" w:customStyle="1" w:styleId="HeaderChar">
    <w:name w:val="Header Char"/>
    <w:basedOn w:val="DefaultParagraphFont"/>
    <w:link w:val="Header"/>
    <w:rsid w:val="00C2185E"/>
    <w:rPr>
      <w:sz w:val="24"/>
      <w:szCs w:val="24"/>
    </w:rPr>
  </w:style>
  <w:style w:type="paragraph" w:styleId="Footer">
    <w:name w:val="footer"/>
    <w:basedOn w:val="Normal"/>
    <w:link w:val="FooterChar"/>
    <w:rsid w:val="00C2185E"/>
    <w:pPr>
      <w:tabs>
        <w:tab w:val="center" w:pos="4513"/>
        <w:tab w:val="right" w:pos="9026"/>
      </w:tabs>
    </w:pPr>
  </w:style>
  <w:style w:type="character" w:customStyle="1" w:styleId="FooterChar">
    <w:name w:val="Footer Char"/>
    <w:basedOn w:val="DefaultParagraphFont"/>
    <w:link w:val="Footer"/>
    <w:rsid w:val="00C2185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F0D"/>
    <w:pPr>
      <w:ind w:left="720"/>
      <w:contextualSpacing/>
    </w:pPr>
  </w:style>
  <w:style w:type="character" w:styleId="CommentReference">
    <w:name w:val="annotation reference"/>
    <w:basedOn w:val="DefaultParagraphFont"/>
    <w:rsid w:val="001D2DC9"/>
    <w:rPr>
      <w:sz w:val="16"/>
      <w:szCs w:val="16"/>
    </w:rPr>
  </w:style>
  <w:style w:type="paragraph" w:styleId="CommentText">
    <w:name w:val="annotation text"/>
    <w:basedOn w:val="Normal"/>
    <w:link w:val="CommentTextChar"/>
    <w:rsid w:val="001D2DC9"/>
    <w:rPr>
      <w:sz w:val="20"/>
      <w:szCs w:val="20"/>
    </w:rPr>
  </w:style>
  <w:style w:type="character" w:customStyle="1" w:styleId="CommentTextChar">
    <w:name w:val="Comment Text Char"/>
    <w:basedOn w:val="DefaultParagraphFont"/>
    <w:link w:val="CommentText"/>
    <w:rsid w:val="001D2DC9"/>
  </w:style>
  <w:style w:type="paragraph" w:styleId="CommentSubject">
    <w:name w:val="annotation subject"/>
    <w:basedOn w:val="CommentText"/>
    <w:next w:val="CommentText"/>
    <w:link w:val="CommentSubjectChar"/>
    <w:rsid w:val="001D2DC9"/>
    <w:rPr>
      <w:b/>
      <w:bCs/>
    </w:rPr>
  </w:style>
  <w:style w:type="character" w:customStyle="1" w:styleId="CommentSubjectChar">
    <w:name w:val="Comment Subject Char"/>
    <w:basedOn w:val="CommentTextChar"/>
    <w:link w:val="CommentSubject"/>
    <w:rsid w:val="001D2DC9"/>
    <w:rPr>
      <w:b/>
      <w:bCs/>
    </w:rPr>
  </w:style>
  <w:style w:type="paragraph" w:styleId="BalloonText">
    <w:name w:val="Balloon Text"/>
    <w:basedOn w:val="Normal"/>
    <w:link w:val="BalloonTextChar"/>
    <w:rsid w:val="001D2DC9"/>
    <w:rPr>
      <w:rFonts w:ascii="Tahoma" w:hAnsi="Tahoma" w:cs="Tahoma"/>
      <w:sz w:val="16"/>
      <w:szCs w:val="16"/>
    </w:rPr>
  </w:style>
  <w:style w:type="character" w:customStyle="1" w:styleId="BalloonTextChar">
    <w:name w:val="Balloon Text Char"/>
    <w:basedOn w:val="DefaultParagraphFont"/>
    <w:link w:val="BalloonText"/>
    <w:rsid w:val="001D2DC9"/>
    <w:rPr>
      <w:rFonts w:ascii="Tahoma" w:hAnsi="Tahoma" w:cs="Tahoma"/>
      <w:sz w:val="16"/>
      <w:szCs w:val="16"/>
    </w:rPr>
  </w:style>
  <w:style w:type="paragraph" w:styleId="Header">
    <w:name w:val="header"/>
    <w:basedOn w:val="Normal"/>
    <w:link w:val="HeaderChar"/>
    <w:rsid w:val="00C2185E"/>
    <w:pPr>
      <w:tabs>
        <w:tab w:val="center" w:pos="4513"/>
        <w:tab w:val="right" w:pos="9026"/>
      </w:tabs>
    </w:pPr>
  </w:style>
  <w:style w:type="character" w:customStyle="1" w:styleId="HeaderChar">
    <w:name w:val="Header Char"/>
    <w:basedOn w:val="DefaultParagraphFont"/>
    <w:link w:val="Header"/>
    <w:rsid w:val="00C2185E"/>
    <w:rPr>
      <w:sz w:val="24"/>
      <w:szCs w:val="24"/>
    </w:rPr>
  </w:style>
  <w:style w:type="paragraph" w:styleId="Footer">
    <w:name w:val="footer"/>
    <w:basedOn w:val="Normal"/>
    <w:link w:val="FooterChar"/>
    <w:rsid w:val="00C2185E"/>
    <w:pPr>
      <w:tabs>
        <w:tab w:val="center" w:pos="4513"/>
        <w:tab w:val="right" w:pos="9026"/>
      </w:tabs>
    </w:pPr>
  </w:style>
  <w:style w:type="character" w:customStyle="1" w:styleId="FooterChar">
    <w:name w:val="Footer Char"/>
    <w:basedOn w:val="DefaultParagraphFont"/>
    <w:link w:val="Footer"/>
    <w:rsid w:val="00C218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Wright</dc:creator>
  <cp:lastModifiedBy>Frances Marshall</cp:lastModifiedBy>
  <cp:revision>3</cp:revision>
  <dcterms:created xsi:type="dcterms:W3CDTF">2014-03-14T12:37:00Z</dcterms:created>
  <dcterms:modified xsi:type="dcterms:W3CDTF">2014-03-17T13:37:00Z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Agenda item</vt:lpwstr>
  </op:property>
  <op:property fmtid="{D5CDD505-2E9C-101B-9397-08002B2CF9AE}" pid="3" name="DC.identifier">
    <vt:lpwstr>LGA</vt:lpwstr>
  </op:property>
  <op:property fmtid="{D5CDD505-2E9C-101B-9397-08002B2CF9AE}" pid="4" name="DC.Author">
    <vt:lpwstr>FM</vt:lpwstr>
  </op:property>
  <op:property fmtid="{D5CDD505-2E9C-101B-9397-08002B2CF9AE}" pid="5" name="DC.creator">
    <vt:lpwstr>GSS1\frances.marshall</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2014-03-13T00:00:00Z</vt:lpwstr>
  </op:property>
  <op:property fmtid="{D5CDD505-2E9C-101B-9397-08002B2CF9AE}" pid="10" name="e-GMS.subject.keyword">
    <vt:lpwstr>LGA Executive,</vt:lpwstr>
  </op:property>
  <op:property fmtid="{D5CDD505-2E9C-101B-9397-08002B2CF9AE}" pid="11" name="Date">
    <vt:lpwstr>2014-03-13T00:00:00Z</vt:lpwstr>
  </op:property>
  <op:property fmtid="{D5CDD505-2E9C-101B-9397-08002B2CF9AE}" pid="12" name="Title">
    <vt:lpwstr>App A Business Case Summary</vt:lpwstr>
  </op:property>
  <op:property fmtid="{D5CDD505-2E9C-101B-9397-08002B2CF9AE}" pid="13" name="Keywords">
    <vt:lpwstr>Council meetings;Government, politics and public administration; Local government; Decision making; Council meetings;</vt:lpwstr>
  </op:property>
  <op:property fmtid="{D5CDD505-2E9C-101B-9397-08002B2CF9AE}" pid="14" name="Author">
    <vt:lpwstr>Your council</vt:lpwstr>
  </op:property>
</op:Properties>
</file>